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385D2" w14:textId="587B0C84" w:rsidR="00480A54" w:rsidRPr="00AE1338" w:rsidRDefault="00AE1338" w:rsidP="00A51969">
      <w:pPr>
        <w:spacing w:after="0" w:line="240" w:lineRule="auto"/>
        <w:rPr>
          <w:rFonts w:ascii="Arial" w:hAnsi="Arial" w:cs="Arial"/>
          <w:b/>
          <w:bCs/>
          <w:sz w:val="36"/>
          <w:szCs w:val="36"/>
          <w:lang w:val="en-US"/>
        </w:rPr>
      </w:pPr>
      <w:r w:rsidRPr="00AE1338">
        <w:rPr>
          <w:rFonts w:ascii="Arial" w:hAnsi="Arial" w:cs="Arial"/>
          <w:b/>
          <w:bCs/>
          <w:noProof/>
          <w:sz w:val="36"/>
          <w:szCs w:val="36"/>
          <w:lang w:val="en-US"/>
        </w:rPr>
        <w:drawing>
          <wp:anchor distT="0" distB="0" distL="114300" distR="114300" simplePos="0" relativeHeight="251658240" behindDoc="1" locked="0" layoutInCell="1" allowOverlap="1" wp14:anchorId="039C06F0" wp14:editId="6B1F9D5E">
            <wp:simplePos x="0" y="0"/>
            <wp:positionH relativeFrom="column">
              <wp:posOffset>-679316</wp:posOffset>
            </wp:positionH>
            <wp:positionV relativeFrom="paragraph">
              <wp:posOffset>-914401</wp:posOffset>
            </wp:positionV>
            <wp:extent cx="7552901" cy="10694647"/>
            <wp:effectExtent l="0" t="0" r="3810" b="0"/>
            <wp:wrapNone/>
            <wp:docPr id="1808327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327470" name="Picture 1808327470"/>
                    <pic:cNvPicPr/>
                  </pic:nvPicPr>
                  <pic:blipFill>
                    <a:blip r:embed="rId7">
                      <a:extLst>
                        <a:ext uri="{28A0092B-C50C-407E-A947-70E740481C1C}">
                          <a14:useLocalDpi xmlns:a14="http://schemas.microsoft.com/office/drawing/2010/main" val="0"/>
                        </a:ext>
                      </a:extLst>
                    </a:blip>
                    <a:stretch>
                      <a:fillRect/>
                    </a:stretch>
                  </pic:blipFill>
                  <pic:spPr>
                    <a:xfrm>
                      <a:off x="0" y="0"/>
                      <a:ext cx="7689898" cy="10888630"/>
                    </a:xfrm>
                    <a:prstGeom prst="rect">
                      <a:avLst/>
                    </a:prstGeom>
                  </pic:spPr>
                </pic:pic>
              </a:graphicData>
            </a:graphic>
            <wp14:sizeRelH relativeFrom="page">
              <wp14:pctWidth>0</wp14:pctWidth>
            </wp14:sizeRelH>
            <wp14:sizeRelV relativeFrom="page">
              <wp14:pctHeight>0</wp14:pctHeight>
            </wp14:sizeRelV>
          </wp:anchor>
        </w:drawing>
      </w:r>
      <w:r w:rsidR="00480A54" w:rsidRPr="00AE1338">
        <w:rPr>
          <w:rFonts w:ascii="Arial" w:hAnsi="Arial" w:cs="Arial"/>
          <w:b/>
          <w:bCs/>
          <w:sz w:val="36"/>
          <w:szCs w:val="36"/>
          <w:lang w:val="en-US"/>
        </w:rPr>
        <w:br w:type="page"/>
      </w:r>
    </w:p>
    <w:p w14:paraId="2C4808D0" w14:textId="728F5096" w:rsidR="00396B5F" w:rsidRPr="00AE1338" w:rsidRDefault="007A1890" w:rsidP="00A51969">
      <w:pPr>
        <w:spacing w:after="0" w:line="240" w:lineRule="auto"/>
        <w:jc w:val="center"/>
        <w:rPr>
          <w:rFonts w:ascii="Arial" w:hAnsi="Arial" w:cs="Arial"/>
          <w:b/>
          <w:bCs/>
          <w:sz w:val="36"/>
          <w:szCs w:val="36"/>
          <w:lang w:val="en-US"/>
        </w:rPr>
      </w:pPr>
      <w:r w:rsidRPr="00AE1338">
        <w:rPr>
          <w:rFonts w:ascii="Arial" w:hAnsi="Arial" w:cs="Arial"/>
          <w:b/>
          <w:bCs/>
          <w:sz w:val="36"/>
          <w:szCs w:val="36"/>
          <w:lang w:val="en-US"/>
        </w:rPr>
        <w:lastRenderedPageBreak/>
        <w:t>INTERNATIONAL CONFERENCE ON INFORMATION SYSTEMS AND INTELLIGENT TECHNOLOGIES 2025</w:t>
      </w:r>
    </w:p>
    <w:p w14:paraId="10C3424A" w14:textId="7151E2F6" w:rsidR="00295339" w:rsidRPr="00AE1338" w:rsidRDefault="00295339" w:rsidP="00A51969">
      <w:pPr>
        <w:spacing w:after="0" w:line="240" w:lineRule="auto"/>
        <w:jc w:val="center"/>
        <w:rPr>
          <w:rFonts w:ascii="Arial" w:hAnsi="Arial" w:cs="Arial"/>
          <w:b/>
          <w:bCs/>
          <w:sz w:val="36"/>
          <w:szCs w:val="36"/>
          <w:lang w:val="en-US"/>
        </w:rPr>
      </w:pPr>
      <w:r w:rsidRPr="00AE1338">
        <w:rPr>
          <w:rFonts w:ascii="Arial" w:hAnsi="Arial" w:cs="Arial"/>
          <w:b/>
          <w:bCs/>
          <w:sz w:val="36"/>
          <w:szCs w:val="36"/>
          <w:lang w:val="en-US"/>
        </w:rPr>
        <w:t>INSIGHT 202</w:t>
      </w:r>
      <w:r w:rsidR="00AE1338" w:rsidRPr="00AE1338">
        <w:rPr>
          <w:rFonts w:ascii="Arial" w:hAnsi="Arial" w:cs="Arial"/>
          <w:b/>
          <w:bCs/>
          <w:sz w:val="36"/>
          <w:szCs w:val="36"/>
          <w:lang w:val="en-US"/>
        </w:rPr>
        <w:t>6</w:t>
      </w:r>
    </w:p>
    <w:p w14:paraId="6E4465CF" w14:textId="53A242B6" w:rsidR="00AE1338" w:rsidRPr="00AE1338" w:rsidRDefault="00396B5F" w:rsidP="00A51969">
      <w:pPr>
        <w:spacing w:after="0" w:line="240" w:lineRule="auto"/>
        <w:jc w:val="center"/>
        <w:rPr>
          <w:rFonts w:ascii="Arial" w:hAnsi="Arial" w:cs="Arial"/>
          <w:b/>
          <w:bCs/>
          <w:lang w:val="en-US"/>
        </w:rPr>
      </w:pPr>
      <w:r w:rsidRPr="00AE1338">
        <w:rPr>
          <w:rFonts w:ascii="Arial" w:hAnsi="Arial" w:cs="Arial"/>
          <w:b/>
          <w:bCs/>
          <w:lang w:val="en-US"/>
        </w:rPr>
        <w:t xml:space="preserve">Conference Date: </w:t>
      </w:r>
      <w:r w:rsidR="00AE1338" w:rsidRPr="00AE1338">
        <w:rPr>
          <w:rFonts w:ascii="Arial" w:hAnsi="Arial" w:cs="Arial"/>
          <w:b/>
          <w:bCs/>
          <w:lang w:val="en-US"/>
        </w:rPr>
        <w:t xml:space="preserve">August 19 &amp; 20, 2026, </w:t>
      </w:r>
    </w:p>
    <w:p w14:paraId="0F2C1DA5" w14:textId="4112188B" w:rsidR="00396B5F" w:rsidRPr="00AE1338" w:rsidRDefault="00AE1338" w:rsidP="00A51969">
      <w:pPr>
        <w:spacing w:after="0" w:line="240" w:lineRule="auto"/>
        <w:jc w:val="center"/>
        <w:rPr>
          <w:rFonts w:ascii="Arial" w:hAnsi="Arial" w:cs="Arial"/>
          <w:b/>
          <w:bCs/>
          <w:lang w:val="en-US"/>
        </w:rPr>
      </w:pPr>
      <w:r w:rsidRPr="00AE1338">
        <w:rPr>
          <w:rFonts w:ascii="Arial" w:hAnsi="Arial" w:cs="Arial"/>
          <w:b/>
          <w:bCs/>
          <w:lang w:val="en-US"/>
        </w:rPr>
        <w:t>Conference Hall, Istanbul Gelisim University, Türkiye</w:t>
      </w:r>
    </w:p>
    <w:p w14:paraId="2CCEF36D" w14:textId="77777777" w:rsidR="00884990" w:rsidRPr="00AE1338" w:rsidRDefault="00884990" w:rsidP="00A51969">
      <w:pPr>
        <w:spacing w:after="0" w:line="240" w:lineRule="auto"/>
        <w:jc w:val="center"/>
        <w:rPr>
          <w:rFonts w:ascii="Arial" w:hAnsi="Arial" w:cs="Arial"/>
          <w:b/>
          <w:bCs/>
          <w:lang w:val="en-US"/>
        </w:rPr>
      </w:pPr>
    </w:p>
    <w:p w14:paraId="12725EF1" w14:textId="6D537F3C" w:rsidR="006315AF" w:rsidRPr="00AE1338" w:rsidRDefault="006315AF"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WELCOME TO INSIGHT 202</w:t>
      </w:r>
      <w:r w:rsidR="00AE1338" w:rsidRPr="00AE1338">
        <w:rPr>
          <w:rFonts w:ascii="Arial" w:hAnsi="Arial" w:cs="Arial"/>
          <w:b/>
          <w:bCs/>
          <w:sz w:val="20"/>
          <w:szCs w:val="20"/>
          <w:lang w:val="en-US"/>
        </w:rPr>
        <w:t>6</w:t>
      </w:r>
    </w:p>
    <w:p w14:paraId="322D79F6" w14:textId="77777777" w:rsidR="00844480" w:rsidRPr="00AE1338" w:rsidRDefault="00844480" w:rsidP="00A51969">
      <w:pPr>
        <w:spacing w:after="0" w:line="240" w:lineRule="auto"/>
        <w:jc w:val="center"/>
        <w:rPr>
          <w:rFonts w:ascii="Arial" w:hAnsi="Arial" w:cs="Arial"/>
          <w:b/>
          <w:bCs/>
          <w:sz w:val="20"/>
          <w:szCs w:val="20"/>
          <w:lang w:val="en-US"/>
        </w:rPr>
      </w:pPr>
    </w:p>
    <w:p w14:paraId="78C5C8A6" w14:textId="77777777" w:rsidR="00AE1338" w:rsidRPr="00AE1338" w:rsidRDefault="00AE1338" w:rsidP="00A51969">
      <w:pPr>
        <w:spacing w:after="0" w:line="240" w:lineRule="auto"/>
        <w:jc w:val="both"/>
        <w:rPr>
          <w:rFonts w:ascii="Arial" w:hAnsi="Arial" w:cs="Arial"/>
          <w:sz w:val="20"/>
          <w:szCs w:val="20"/>
          <w:lang w:val="en-US"/>
        </w:rPr>
      </w:pPr>
      <w:r w:rsidRPr="00AE1338">
        <w:rPr>
          <w:rFonts w:ascii="Arial" w:hAnsi="Arial" w:cs="Arial"/>
          <w:sz w:val="20"/>
          <w:szCs w:val="20"/>
          <w:lang w:val="en-US"/>
        </w:rPr>
        <w:t>Welcome to the 2026 International Conference on Information Systems and Intelligent Technologies (INSIGHT) 2026, which will take place from 19 – 20 August 2026, in Istanbul, Turki, organized by Asia Pacific Research and Knowledge Network, Centro Algoritmi, Brawijaya University and Istanbul Gelisim University that explore the latest research, ideas, and solutions related to Information Systems and Artificial Intelligent Technologies.</w:t>
      </w:r>
    </w:p>
    <w:p w14:paraId="3680CD5C" w14:textId="77777777" w:rsidR="00AE1338" w:rsidRPr="00AE1338" w:rsidRDefault="00AE1338" w:rsidP="00A51969">
      <w:pPr>
        <w:spacing w:after="0" w:line="240" w:lineRule="auto"/>
        <w:jc w:val="both"/>
        <w:rPr>
          <w:rFonts w:ascii="Arial" w:hAnsi="Arial" w:cs="Arial"/>
          <w:sz w:val="20"/>
          <w:szCs w:val="20"/>
          <w:lang w:val="en-US"/>
        </w:rPr>
      </w:pPr>
    </w:p>
    <w:p w14:paraId="56AF7F97" w14:textId="7A8DF484" w:rsidR="00AE1338" w:rsidRPr="00AE1338" w:rsidRDefault="00AE1338" w:rsidP="00A51969">
      <w:pPr>
        <w:spacing w:after="0" w:line="240" w:lineRule="auto"/>
        <w:jc w:val="both"/>
        <w:rPr>
          <w:rFonts w:ascii="Arial" w:hAnsi="Arial" w:cs="Arial"/>
          <w:sz w:val="20"/>
          <w:szCs w:val="20"/>
          <w:lang w:val="en-US"/>
        </w:rPr>
      </w:pPr>
      <w:r w:rsidRPr="00AE1338">
        <w:rPr>
          <w:rFonts w:ascii="Arial" w:hAnsi="Arial" w:cs="Arial"/>
          <w:sz w:val="20"/>
          <w:szCs w:val="20"/>
          <w:lang w:val="en-US"/>
        </w:rPr>
        <w:t xml:space="preserve">INSIGHT 2026, the second edition of our hybrid international conference, is designed to convene distinguished educators, researchers, industry leaders, policymakers, and stakeholders from across the globe. Guided by the overarching theme of Sustainability and Future-Ready Innovation in Information Systems, the conference seeks to advance scholarly discourse and foster collaborative engagement in addressing complex global challenges through sustainable, ethical, and technology-driven solutions. INSIGHT 2026 will feature a comprehensive program </w:t>
      </w:r>
      <w:r>
        <w:rPr>
          <w:rFonts w:ascii="Arial" w:hAnsi="Arial" w:cs="Arial"/>
          <w:sz w:val="20"/>
          <w:szCs w:val="20"/>
          <w:lang w:val="en-US"/>
        </w:rPr>
        <w:t>of</w:t>
      </w:r>
      <w:r w:rsidRPr="00AE1338">
        <w:rPr>
          <w:rFonts w:ascii="Arial" w:hAnsi="Arial" w:cs="Arial"/>
          <w:sz w:val="20"/>
          <w:szCs w:val="20"/>
          <w:lang w:val="en-US"/>
        </w:rPr>
        <w:t xml:space="preserve"> high-quality research presentations, empirical investigations, and applied case studies in Information Systems and related disciplines. </w:t>
      </w:r>
      <w:proofErr w:type="gramStart"/>
      <w:r w:rsidRPr="00AE1338">
        <w:rPr>
          <w:rFonts w:ascii="Arial" w:hAnsi="Arial" w:cs="Arial"/>
          <w:sz w:val="20"/>
          <w:szCs w:val="20"/>
          <w:lang w:val="en-US"/>
        </w:rPr>
        <w:t>Particular emphasis</w:t>
      </w:r>
      <w:proofErr w:type="gramEnd"/>
      <w:r w:rsidRPr="00AE1338">
        <w:rPr>
          <w:rFonts w:ascii="Arial" w:hAnsi="Arial" w:cs="Arial"/>
          <w:sz w:val="20"/>
          <w:szCs w:val="20"/>
          <w:lang w:val="en-US"/>
        </w:rPr>
        <w:t xml:space="preserve"> will be placed on sustainable digital transformation, green and responsible computing, data-driven governance, intelligent systems, cybersecurity resilience, and innovative Information Systems frameworks that support environmental stewardship, social responsibility, and economic sustainability. The conference will be conducted through plenary sessions, parallel technical tracks, and structured networking forums to facilitate rigorous academic exchange and interdisciplinary collaboration. It aims to explore how Information Systems can serve as strategic enablers for sustainable development, organizational resilience, and inclusive digital ecosystems. Participants will also benefit from reputable publication opportunities and meaningful engagement with leading scholars and experts in Information Systems and sustainability research. We cordially invite academics, researchers, and practitioners to participate in INSIGHT 2026 and contribute to advancing knowledge, fostering sustainable Information Systems innovation, and shaping a resilient and inclusive global future.</w:t>
      </w:r>
    </w:p>
    <w:p w14:paraId="74BB8650" w14:textId="77777777" w:rsidR="00844480" w:rsidRPr="00AE1338" w:rsidRDefault="00844480" w:rsidP="00A51969">
      <w:pPr>
        <w:spacing w:after="0" w:line="240" w:lineRule="auto"/>
        <w:jc w:val="both"/>
        <w:rPr>
          <w:rFonts w:ascii="Arial" w:hAnsi="Arial" w:cs="Arial"/>
          <w:sz w:val="20"/>
          <w:szCs w:val="20"/>
          <w:lang w:val="en-US"/>
        </w:rPr>
      </w:pPr>
    </w:p>
    <w:p w14:paraId="152C6097" w14:textId="77777777" w:rsidR="00AE1338" w:rsidRPr="00AE1338" w:rsidRDefault="00AE1338" w:rsidP="00A51969">
      <w:pPr>
        <w:spacing w:after="0" w:line="240" w:lineRule="auto"/>
        <w:jc w:val="center"/>
        <w:rPr>
          <w:rFonts w:ascii="Arial" w:hAnsi="Arial" w:cs="Arial"/>
          <w:b/>
          <w:bCs/>
        </w:rPr>
      </w:pPr>
      <w:r w:rsidRPr="00AE1338">
        <w:rPr>
          <w:rFonts w:ascii="Arial" w:hAnsi="Arial" w:cs="Arial"/>
          <w:b/>
          <w:bCs/>
        </w:rPr>
        <w:t>“THEME: INTEGRATING INFORMATION SYSTEM AND ARTIFICIAL INTELLIGENCE TECHNOLOGY FOR SUSTAINABLE INOVATION AND DEVELOPMENT”</w:t>
      </w:r>
    </w:p>
    <w:p w14:paraId="380EED7A" w14:textId="77777777" w:rsidR="00844480" w:rsidRPr="00AE1338" w:rsidRDefault="00844480" w:rsidP="00A51969">
      <w:pPr>
        <w:spacing w:after="0" w:line="240" w:lineRule="auto"/>
        <w:jc w:val="center"/>
        <w:rPr>
          <w:rFonts w:ascii="Arial" w:hAnsi="Arial" w:cs="Arial"/>
          <w:b/>
          <w:bCs/>
          <w:sz w:val="20"/>
          <w:szCs w:val="20"/>
        </w:rPr>
      </w:pPr>
    </w:p>
    <w:p w14:paraId="150D4121" w14:textId="79681815" w:rsidR="006315AF" w:rsidRDefault="00AE1338" w:rsidP="00A51969">
      <w:pPr>
        <w:spacing w:after="0" w:line="240" w:lineRule="auto"/>
        <w:jc w:val="both"/>
        <w:rPr>
          <w:rFonts w:ascii="Arial" w:hAnsi="Arial" w:cs="Arial"/>
          <w:sz w:val="20"/>
          <w:szCs w:val="20"/>
          <w:lang w:val="en-US"/>
        </w:rPr>
      </w:pPr>
      <w:r w:rsidRPr="00AE1338">
        <w:rPr>
          <w:rFonts w:ascii="Arial" w:hAnsi="Arial" w:cs="Arial"/>
          <w:sz w:val="20"/>
          <w:szCs w:val="20"/>
          <w:lang w:val="en-US"/>
        </w:rPr>
        <w:t xml:space="preserve">INSIGHT 2026 seeks to foster knowledge exchange, collaboration, and innovation </w:t>
      </w:r>
      <w:r>
        <w:rPr>
          <w:rFonts w:ascii="Arial" w:hAnsi="Arial" w:cs="Arial"/>
          <w:sz w:val="20"/>
          <w:szCs w:val="20"/>
          <w:lang w:val="en-US"/>
        </w:rPr>
        <w:t>across</w:t>
      </w:r>
      <w:r w:rsidRPr="00AE1338">
        <w:rPr>
          <w:rFonts w:ascii="Arial" w:hAnsi="Arial" w:cs="Arial"/>
          <w:sz w:val="20"/>
          <w:szCs w:val="20"/>
          <w:lang w:val="en-US"/>
        </w:rPr>
        <w:t xml:space="preserve"> data science and information systems. It aims to bring together scholars, experts, industries, and stakeholders to discuss sustainable practices, address challenges, showcase new technologies, and facilitate networking </w:t>
      </w:r>
      <w:r>
        <w:rPr>
          <w:rFonts w:ascii="Arial" w:hAnsi="Arial" w:cs="Arial"/>
          <w:sz w:val="20"/>
          <w:szCs w:val="20"/>
          <w:lang w:val="en-US"/>
        </w:rPr>
        <w:t>to</w:t>
      </w:r>
      <w:r w:rsidRPr="00AE1338">
        <w:rPr>
          <w:rFonts w:ascii="Arial" w:hAnsi="Arial" w:cs="Arial"/>
          <w:sz w:val="20"/>
          <w:szCs w:val="20"/>
          <w:lang w:val="en-US"/>
        </w:rPr>
        <w:t xml:space="preserve"> advance these interconnected fields.</w:t>
      </w:r>
    </w:p>
    <w:p w14:paraId="0A9401AB" w14:textId="77777777" w:rsidR="00AE1338" w:rsidRPr="00AE1338" w:rsidRDefault="00AE1338" w:rsidP="00A51969">
      <w:pPr>
        <w:spacing w:after="0" w:line="240" w:lineRule="auto"/>
        <w:jc w:val="center"/>
        <w:rPr>
          <w:rFonts w:ascii="Arial" w:hAnsi="Arial" w:cs="Arial"/>
          <w:b/>
          <w:bCs/>
          <w:sz w:val="20"/>
          <w:szCs w:val="20"/>
          <w:lang w:val="en-US"/>
        </w:rPr>
      </w:pPr>
    </w:p>
    <w:p w14:paraId="6C314799" w14:textId="0B88F8C3" w:rsidR="006315AF" w:rsidRPr="00AE1338" w:rsidRDefault="006315AF" w:rsidP="00A51969">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hAnsi="Arial" w:cs="Arial"/>
          <w:b/>
          <w:bCs/>
          <w:sz w:val="20"/>
          <w:szCs w:val="20"/>
          <w:lang w:val="en-US"/>
        </w:rPr>
      </w:pPr>
      <w:r w:rsidRPr="00AE1338">
        <w:rPr>
          <w:rFonts w:ascii="Arial" w:hAnsi="Arial" w:cs="Arial"/>
          <w:b/>
          <w:bCs/>
          <w:sz w:val="20"/>
          <w:szCs w:val="20"/>
          <w:lang w:val="en-US"/>
        </w:rPr>
        <w:t>CONFERENCE TRACK</w:t>
      </w:r>
    </w:p>
    <w:p w14:paraId="17FADA5B" w14:textId="77777777" w:rsidR="006315AF" w:rsidRPr="00AE1338" w:rsidRDefault="006315AF" w:rsidP="00A51969">
      <w:pPr>
        <w:spacing w:after="0" w:line="240" w:lineRule="auto"/>
        <w:rPr>
          <w:rFonts w:ascii="Arial" w:hAnsi="Arial" w:cs="Arial"/>
          <w:b/>
          <w:bCs/>
          <w:sz w:val="20"/>
          <w:szCs w:val="20"/>
          <w:lang w:val="en-US"/>
        </w:rPr>
      </w:pPr>
    </w:p>
    <w:p w14:paraId="72F60183" w14:textId="77777777" w:rsidR="006D36A8" w:rsidRPr="006D36A8" w:rsidRDefault="006D36A8" w:rsidP="00A51969">
      <w:pPr>
        <w:spacing w:after="0" w:line="240" w:lineRule="auto"/>
        <w:rPr>
          <w:rFonts w:ascii="Arial" w:hAnsi="Arial" w:cs="Arial"/>
          <w:sz w:val="20"/>
          <w:szCs w:val="20"/>
        </w:rPr>
      </w:pPr>
      <w:r w:rsidRPr="006D36A8">
        <w:rPr>
          <w:rFonts w:ascii="Arial" w:hAnsi="Arial" w:cs="Arial"/>
          <w:b/>
          <w:bCs/>
          <w:sz w:val="20"/>
          <w:szCs w:val="20"/>
        </w:rPr>
        <w:t xml:space="preserve">Topics of Interest include, but not limited </w:t>
      </w:r>
      <w:proofErr w:type="gramStart"/>
      <w:r w:rsidRPr="006D36A8">
        <w:rPr>
          <w:rFonts w:ascii="Arial" w:hAnsi="Arial" w:cs="Arial"/>
          <w:b/>
          <w:bCs/>
          <w:sz w:val="20"/>
          <w:szCs w:val="20"/>
        </w:rPr>
        <w:t>to :</w:t>
      </w:r>
      <w:proofErr w:type="gramEnd"/>
      <w:r w:rsidRPr="006D36A8">
        <w:rPr>
          <w:rFonts w:ascii="Arial" w:hAnsi="Arial" w:cs="Arial"/>
          <w:b/>
          <w:bCs/>
          <w:sz w:val="20"/>
          <w:szCs w:val="20"/>
        </w:rPr>
        <w:t>  </w:t>
      </w:r>
    </w:p>
    <w:p w14:paraId="5A3D5767" w14:textId="77777777" w:rsidR="006D36A8" w:rsidRDefault="006D36A8" w:rsidP="00A51969">
      <w:pPr>
        <w:spacing w:after="0" w:line="240" w:lineRule="auto"/>
        <w:rPr>
          <w:rFonts w:ascii="Arial" w:hAnsi="Arial" w:cs="Arial"/>
          <w:sz w:val="20"/>
          <w:szCs w:val="20"/>
        </w:rPr>
      </w:pPr>
      <w:r w:rsidRPr="006D36A8">
        <w:rPr>
          <w:rFonts w:ascii="Arial" w:hAnsi="Arial" w:cs="Arial"/>
          <w:sz w:val="20"/>
          <w:szCs w:val="20"/>
        </w:rPr>
        <w:t>Artificial Intelligence and Machine Learning in Information Systems for Business and Social Sciences</w:t>
      </w:r>
    </w:p>
    <w:p w14:paraId="443832A8" w14:textId="77777777" w:rsidR="006D36A8" w:rsidRDefault="006D36A8" w:rsidP="00A51969">
      <w:pPr>
        <w:spacing w:after="0" w:line="240" w:lineRule="auto"/>
        <w:rPr>
          <w:rFonts w:ascii="Arial" w:hAnsi="Arial" w:cs="Arial"/>
          <w:sz w:val="20"/>
          <w:szCs w:val="20"/>
        </w:rPr>
      </w:pPr>
      <w:r w:rsidRPr="006D36A8">
        <w:rPr>
          <w:rFonts w:ascii="Arial" w:hAnsi="Arial" w:cs="Arial"/>
          <w:sz w:val="20"/>
          <w:szCs w:val="20"/>
        </w:rPr>
        <w:t>Big Data Analytics, Data-Driven Decision Making, and Sentiment Analysis in Business and Social Sciences</w:t>
      </w:r>
    </w:p>
    <w:p w14:paraId="0B74F301" w14:textId="77777777" w:rsidR="006D36A8" w:rsidRDefault="006D36A8" w:rsidP="00A51969">
      <w:pPr>
        <w:spacing w:after="0" w:line="240" w:lineRule="auto"/>
        <w:rPr>
          <w:rFonts w:ascii="Arial" w:hAnsi="Arial" w:cs="Arial"/>
          <w:sz w:val="20"/>
          <w:szCs w:val="20"/>
        </w:rPr>
      </w:pPr>
      <w:r w:rsidRPr="006D36A8">
        <w:rPr>
          <w:rFonts w:ascii="Arial" w:hAnsi="Arial" w:cs="Arial"/>
          <w:sz w:val="20"/>
          <w:szCs w:val="20"/>
        </w:rPr>
        <w:t>Digital Transformation Strategies and Frameworks for Business and Social Sciences</w:t>
      </w:r>
    </w:p>
    <w:p w14:paraId="3BE389AF" w14:textId="77777777" w:rsidR="006D36A8" w:rsidRDefault="006D36A8" w:rsidP="00A51969">
      <w:pPr>
        <w:spacing w:after="0" w:line="240" w:lineRule="auto"/>
        <w:rPr>
          <w:rFonts w:ascii="Arial" w:hAnsi="Arial" w:cs="Arial"/>
          <w:sz w:val="20"/>
          <w:szCs w:val="20"/>
        </w:rPr>
      </w:pPr>
      <w:r w:rsidRPr="006D36A8">
        <w:rPr>
          <w:rFonts w:ascii="Arial" w:hAnsi="Arial" w:cs="Arial"/>
          <w:sz w:val="20"/>
          <w:szCs w:val="20"/>
        </w:rPr>
        <w:t>Blockchain and Distributed Ledger Technologies in IS</w:t>
      </w:r>
    </w:p>
    <w:p w14:paraId="7FC956B5" w14:textId="77777777" w:rsidR="006D36A8" w:rsidRDefault="006D36A8" w:rsidP="00A51969">
      <w:pPr>
        <w:spacing w:after="0" w:line="240" w:lineRule="auto"/>
        <w:rPr>
          <w:rFonts w:ascii="Arial" w:hAnsi="Arial" w:cs="Arial"/>
          <w:sz w:val="20"/>
          <w:szCs w:val="20"/>
        </w:rPr>
      </w:pPr>
      <w:r w:rsidRPr="006D36A8">
        <w:rPr>
          <w:rFonts w:ascii="Arial" w:hAnsi="Arial" w:cs="Arial"/>
          <w:sz w:val="20"/>
          <w:szCs w:val="20"/>
        </w:rPr>
        <w:t>Cloud Computing, IoT, and Edge Technologies Enabling Digital Transformation in Business and Social Sciences</w:t>
      </w:r>
    </w:p>
    <w:p w14:paraId="0ADB2A5D" w14:textId="77777777" w:rsidR="006D36A8" w:rsidRDefault="006D36A8" w:rsidP="00A51969">
      <w:pPr>
        <w:spacing w:after="0" w:line="240" w:lineRule="auto"/>
        <w:rPr>
          <w:rFonts w:ascii="Arial" w:hAnsi="Arial" w:cs="Arial"/>
          <w:sz w:val="20"/>
          <w:szCs w:val="20"/>
        </w:rPr>
      </w:pPr>
      <w:r w:rsidRPr="006D36A8">
        <w:rPr>
          <w:rFonts w:ascii="Arial" w:hAnsi="Arial" w:cs="Arial"/>
          <w:sz w:val="20"/>
          <w:szCs w:val="20"/>
        </w:rPr>
        <w:t>Cybersecurity, Privacy, and Ethical Challenges in Intelligent Systems</w:t>
      </w:r>
    </w:p>
    <w:p w14:paraId="4B9E9CB4" w14:textId="77777777" w:rsidR="006D36A8" w:rsidRDefault="006D36A8" w:rsidP="00A51969">
      <w:pPr>
        <w:spacing w:after="0" w:line="240" w:lineRule="auto"/>
        <w:rPr>
          <w:rFonts w:ascii="Arial" w:hAnsi="Arial" w:cs="Arial"/>
          <w:sz w:val="20"/>
          <w:szCs w:val="20"/>
        </w:rPr>
      </w:pPr>
      <w:r w:rsidRPr="006D36A8">
        <w:rPr>
          <w:rFonts w:ascii="Arial" w:hAnsi="Arial" w:cs="Arial"/>
          <w:sz w:val="20"/>
          <w:szCs w:val="20"/>
        </w:rPr>
        <w:t>User Experience in Information Systems, E-Business, and IT Adoption</w:t>
      </w:r>
    </w:p>
    <w:p w14:paraId="2EE11042" w14:textId="77777777" w:rsidR="006D36A8" w:rsidRDefault="006D36A8" w:rsidP="00A51969">
      <w:pPr>
        <w:spacing w:after="0" w:line="240" w:lineRule="auto"/>
        <w:rPr>
          <w:rFonts w:ascii="Arial" w:hAnsi="Arial" w:cs="Arial"/>
          <w:sz w:val="20"/>
          <w:szCs w:val="20"/>
        </w:rPr>
      </w:pPr>
      <w:r w:rsidRPr="006D36A8">
        <w:rPr>
          <w:rFonts w:ascii="Arial" w:hAnsi="Arial" w:cs="Arial"/>
          <w:sz w:val="20"/>
          <w:szCs w:val="20"/>
        </w:rPr>
        <w:t>Smart Cities, Digital Governance, and E-Government Solutions</w:t>
      </w:r>
    </w:p>
    <w:p w14:paraId="62A506BC" w14:textId="5B68AC15" w:rsidR="0075434E" w:rsidRDefault="006D36A8" w:rsidP="00A51969">
      <w:pPr>
        <w:spacing w:after="0" w:line="240" w:lineRule="auto"/>
        <w:rPr>
          <w:rFonts w:ascii="Arial" w:hAnsi="Arial" w:cs="Arial"/>
          <w:sz w:val="20"/>
          <w:szCs w:val="20"/>
        </w:rPr>
      </w:pPr>
      <w:r w:rsidRPr="006D36A8">
        <w:rPr>
          <w:rFonts w:ascii="Arial" w:hAnsi="Arial" w:cs="Arial"/>
          <w:sz w:val="20"/>
          <w:szCs w:val="20"/>
        </w:rPr>
        <w:t>AI and Education, Intelligent Supply Chains and Industry 4.0 Solutions</w:t>
      </w:r>
    </w:p>
    <w:p w14:paraId="3D91E87F" w14:textId="0B0A3E7D" w:rsidR="00995DB6" w:rsidRPr="00995DB6" w:rsidRDefault="0075434E" w:rsidP="00995DB6">
      <w:pPr>
        <w:spacing w:after="0" w:line="240" w:lineRule="auto"/>
        <w:rPr>
          <w:rFonts w:ascii="Arial" w:hAnsi="Arial" w:cs="Arial"/>
          <w:sz w:val="20"/>
          <w:szCs w:val="20"/>
        </w:rPr>
      </w:pPr>
      <w:r>
        <w:rPr>
          <w:rFonts w:ascii="Arial" w:hAnsi="Arial" w:cs="Arial"/>
          <w:sz w:val="20"/>
          <w:szCs w:val="20"/>
        </w:rPr>
        <w:br w:type="page"/>
      </w:r>
    </w:p>
    <w:p w14:paraId="25F6481C" w14:textId="536ACE68" w:rsidR="00F15FF0" w:rsidRPr="00F15FF0" w:rsidRDefault="00F15FF0" w:rsidP="00F15FF0">
      <w:pPr>
        <w:spacing w:before="100" w:beforeAutospacing="1" w:after="100" w:afterAutospacing="1" w:line="240" w:lineRule="auto"/>
        <w:outlineLvl w:val="0"/>
        <w:rPr>
          <w:rFonts w:ascii="Arial" w:eastAsia="Times New Roman" w:hAnsi="Arial" w:cs="Arial"/>
          <w:b/>
          <w:bCs/>
          <w:kern w:val="36"/>
          <w:sz w:val="22"/>
          <w:szCs w:val="22"/>
          <w:lang w:val="tr-TR" w:eastAsia="tr-TR"/>
          <w14:ligatures w14:val="none"/>
        </w:rPr>
      </w:pPr>
      <w:r w:rsidRPr="00F15FF0">
        <w:rPr>
          <w:rFonts w:ascii="Arial" w:eastAsia="Times New Roman" w:hAnsi="Arial" w:cs="Arial"/>
          <w:b/>
          <w:bCs/>
          <w:kern w:val="36"/>
          <w:sz w:val="22"/>
          <w:szCs w:val="22"/>
          <w:lang w:val="tr-TR" w:eastAsia="tr-TR"/>
          <w14:ligatures w14:val="none"/>
        </w:rPr>
        <w:lastRenderedPageBreak/>
        <w:t>O</w:t>
      </w:r>
      <w:r>
        <w:rPr>
          <w:rFonts w:ascii="Arial" w:eastAsia="Times New Roman" w:hAnsi="Arial" w:cs="Arial"/>
          <w:b/>
          <w:bCs/>
          <w:kern w:val="36"/>
          <w:sz w:val="22"/>
          <w:szCs w:val="22"/>
          <w:lang w:val="tr-TR" w:eastAsia="tr-TR"/>
          <w14:ligatures w14:val="none"/>
        </w:rPr>
        <w:t xml:space="preserve">PENING REMARKS </w:t>
      </w:r>
    </w:p>
    <w:p w14:paraId="74392579" w14:textId="77777777" w:rsidR="00F15FF0" w:rsidRPr="00F15FF0" w:rsidRDefault="00F15FF0" w:rsidP="00F15FF0">
      <w:pPr>
        <w:spacing w:after="0" w:line="240" w:lineRule="auto"/>
        <w:outlineLvl w:val="2"/>
        <w:rPr>
          <w:rFonts w:ascii="Arial" w:eastAsia="Times New Roman" w:hAnsi="Arial" w:cs="Arial"/>
          <w:b/>
          <w:bCs/>
          <w:kern w:val="0"/>
          <w:sz w:val="22"/>
          <w:szCs w:val="22"/>
          <w:lang w:val="tr-TR" w:eastAsia="tr-TR"/>
          <w14:ligatures w14:val="none"/>
        </w:rPr>
      </w:pPr>
      <w:r w:rsidRPr="00F15FF0">
        <w:rPr>
          <w:rFonts w:ascii="Arial" w:eastAsia="Times New Roman" w:hAnsi="Arial" w:cs="Arial"/>
          <w:b/>
          <w:bCs/>
          <w:kern w:val="0"/>
          <w:sz w:val="22"/>
          <w:szCs w:val="22"/>
          <w:lang w:val="tr-TR" w:eastAsia="tr-TR"/>
          <w14:ligatures w14:val="none"/>
        </w:rPr>
        <w:t>Prof. Kenan AYDIN</w:t>
      </w:r>
    </w:p>
    <w:p w14:paraId="4F5F81DA" w14:textId="77777777" w:rsidR="00F15FF0" w:rsidRPr="00F15FF0" w:rsidRDefault="00F15FF0" w:rsidP="00F15FF0">
      <w:pPr>
        <w:spacing w:after="0" w:line="240" w:lineRule="auto"/>
        <w:rPr>
          <w:rFonts w:ascii="Arial" w:eastAsia="Times New Roman" w:hAnsi="Arial" w:cs="Arial"/>
          <w:b/>
          <w:bCs/>
          <w:kern w:val="0"/>
          <w:sz w:val="22"/>
          <w:szCs w:val="22"/>
          <w:lang w:val="tr-TR" w:eastAsia="tr-TR"/>
          <w14:ligatures w14:val="none"/>
        </w:rPr>
      </w:pPr>
      <w:r w:rsidRPr="00F15FF0">
        <w:rPr>
          <w:rFonts w:ascii="Arial" w:eastAsia="Times New Roman" w:hAnsi="Arial" w:cs="Arial"/>
          <w:b/>
          <w:bCs/>
          <w:kern w:val="0"/>
          <w:sz w:val="22"/>
          <w:szCs w:val="22"/>
          <w:lang w:val="tr-TR" w:eastAsia="tr-TR"/>
          <w14:ligatures w14:val="none"/>
        </w:rPr>
        <w:t>Dean</w:t>
      </w:r>
    </w:p>
    <w:p w14:paraId="1E055B71" w14:textId="77777777" w:rsidR="00F15FF0" w:rsidRPr="00F15FF0" w:rsidRDefault="00F15FF0" w:rsidP="00F15FF0">
      <w:pPr>
        <w:spacing w:after="0" w:line="240" w:lineRule="auto"/>
        <w:rPr>
          <w:rFonts w:ascii="Arial" w:eastAsia="Times New Roman" w:hAnsi="Arial" w:cs="Arial"/>
          <w:b/>
          <w:bCs/>
          <w:kern w:val="0"/>
          <w:sz w:val="22"/>
          <w:szCs w:val="22"/>
          <w:lang w:val="tr-TR" w:eastAsia="tr-TR"/>
          <w14:ligatures w14:val="none"/>
        </w:rPr>
      </w:pPr>
    </w:p>
    <w:p w14:paraId="4E91D052" w14:textId="77777777" w:rsidR="00F15FF0" w:rsidRPr="00F15FF0" w:rsidRDefault="00F15FF0" w:rsidP="00F15FF0">
      <w:pPr>
        <w:spacing w:after="0" w:line="240" w:lineRule="auto"/>
        <w:rPr>
          <w:rFonts w:ascii="Arial" w:eastAsia="Times New Roman" w:hAnsi="Arial" w:cs="Arial"/>
          <w:kern w:val="0"/>
          <w:sz w:val="22"/>
          <w:szCs w:val="22"/>
          <w:lang w:val="tr-TR" w:eastAsia="tr-TR"/>
          <w14:ligatures w14:val="none"/>
        </w:rPr>
      </w:pPr>
      <w:r w:rsidRPr="00F15FF0">
        <w:rPr>
          <w:rFonts w:ascii="Arial" w:eastAsia="Times New Roman" w:hAnsi="Arial" w:cs="Arial"/>
          <w:b/>
          <w:bCs/>
          <w:kern w:val="0"/>
          <w:sz w:val="22"/>
          <w:szCs w:val="22"/>
          <w:lang w:val="tr-TR" w:eastAsia="tr-TR"/>
          <w14:ligatures w14:val="none"/>
        </w:rPr>
        <w:t>Faculty of Economics, Administrative, and Social Sciences</w:t>
      </w:r>
      <w:r w:rsidRPr="00F15FF0">
        <w:rPr>
          <w:rFonts w:ascii="Arial" w:eastAsia="Times New Roman" w:hAnsi="Arial" w:cs="Arial"/>
          <w:kern w:val="0"/>
          <w:sz w:val="22"/>
          <w:szCs w:val="22"/>
          <w:lang w:val="tr-TR" w:eastAsia="tr-TR"/>
          <w14:ligatures w14:val="none"/>
        </w:rPr>
        <w:br/>
      </w:r>
      <w:r w:rsidRPr="00F15FF0">
        <w:rPr>
          <w:rFonts w:ascii="Arial" w:eastAsia="Times New Roman" w:hAnsi="Arial" w:cs="Arial"/>
          <w:b/>
          <w:bCs/>
          <w:kern w:val="0"/>
          <w:sz w:val="22"/>
          <w:szCs w:val="22"/>
          <w:lang w:val="tr-TR" w:eastAsia="tr-TR"/>
          <w14:ligatures w14:val="none"/>
        </w:rPr>
        <w:t>Istanbul Gelisim University</w:t>
      </w:r>
    </w:p>
    <w:p w14:paraId="4AF1C490" w14:textId="5C9EA8BA"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b/>
          <w:bCs/>
          <w:kern w:val="0"/>
          <w:sz w:val="22"/>
          <w:szCs w:val="22"/>
          <w:lang w:val="tr-TR" w:eastAsia="tr-TR"/>
          <w14:ligatures w14:val="none"/>
        </w:rPr>
        <w:t>Honorable Chairman of the Board of Trustees, Esteemed Rector, Distinguished University Administrators, Respected Representatives of our conference partners</w:t>
      </w:r>
      <w:r w:rsidR="00341A90">
        <w:rPr>
          <w:rFonts w:ascii="Arial" w:eastAsia="Times New Roman" w:hAnsi="Arial" w:cs="Arial"/>
          <w:b/>
          <w:bCs/>
          <w:kern w:val="0"/>
          <w:sz w:val="22"/>
          <w:szCs w:val="22"/>
          <w:lang w:val="tr-TR" w:eastAsia="tr-TR"/>
          <w14:ligatures w14:val="none"/>
        </w:rPr>
        <w:t xml:space="preserve"> </w:t>
      </w:r>
      <w:r w:rsidRPr="00F15FF0">
        <w:rPr>
          <w:rFonts w:ascii="Arial" w:eastAsia="Times New Roman" w:hAnsi="Arial" w:cs="Arial"/>
          <w:b/>
          <w:bCs/>
          <w:kern w:val="0"/>
          <w:sz w:val="22"/>
          <w:szCs w:val="22"/>
          <w:lang w:val="tr-TR" w:eastAsia="tr-TR"/>
          <w14:ligatures w14:val="none"/>
        </w:rPr>
        <w:t xml:space="preserve">Universiti Tun Hussein </w:t>
      </w:r>
      <w:r w:rsidR="00341A90">
        <w:rPr>
          <w:rFonts w:ascii="Arial" w:eastAsia="Times New Roman" w:hAnsi="Arial" w:cs="Arial"/>
          <w:b/>
          <w:bCs/>
          <w:kern w:val="0"/>
          <w:sz w:val="22"/>
          <w:szCs w:val="22"/>
          <w:lang w:val="tr-TR" w:eastAsia="tr-TR"/>
          <w14:ligatures w14:val="none"/>
        </w:rPr>
        <w:t xml:space="preserve">Onn </w:t>
      </w:r>
      <w:r w:rsidRPr="00F15FF0">
        <w:rPr>
          <w:rFonts w:ascii="Arial" w:eastAsia="Times New Roman" w:hAnsi="Arial" w:cs="Arial"/>
          <w:b/>
          <w:bCs/>
          <w:kern w:val="0"/>
          <w:sz w:val="22"/>
          <w:szCs w:val="22"/>
          <w:lang w:val="tr-TR" w:eastAsia="tr-TR"/>
          <w14:ligatures w14:val="none"/>
        </w:rPr>
        <w:t xml:space="preserve">Malaysia, Asia Pacific Research and Knowledge Network, Centro Algoritmi, </w:t>
      </w:r>
      <w:r w:rsidR="00341A90">
        <w:rPr>
          <w:rFonts w:ascii="Arial" w:eastAsia="Times New Roman" w:hAnsi="Arial" w:cs="Arial"/>
          <w:b/>
          <w:bCs/>
          <w:kern w:val="0"/>
          <w:sz w:val="22"/>
          <w:szCs w:val="22"/>
          <w:lang w:val="tr-TR" w:eastAsia="tr-TR"/>
          <w14:ligatures w14:val="none"/>
        </w:rPr>
        <w:t xml:space="preserve">Binus University </w:t>
      </w:r>
      <w:r w:rsidRPr="00F15FF0">
        <w:rPr>
          <w:rFonts w:ascii="Arial" w:eastAsia="Times New Roman" w:hAnsi="Arial" w:cs="Arial"/>
          <w:b/>
          <w:bCs/>
          <w:kern w:val="0"/>
          <w:sz w:val="22"/>
          <w:szCs w:val="22"/>
          <w:lang w:val="tr-TR" w:eastAsia="tr-TR"/>
          <w14:ligatures w14:val="none"/>
        </w:rPr>
        <w:t>and Brawijaya University</w:t>
      </w:r>
      <w:r w:rsidR="00341A90">
        <w:rPr>
          <w:rFonts w:ascii="Arial" w:eastAsia="Times New Roman" w:hAnsi="Arial" w:cs="Arial"/>
          <w:b/>
          <w:bCs/>
          <w:kern w:val="0"/>
          <w:sz w:val="22"/>
          <w:szCs w:val="22"/>
          <w:lang w:val="tr-TR" w:eastAsia="tr-TR"/>
          <w14:ligatures w14:val="none"/>
        </w:rPr>
        <w:t xml:space="preserve">. </w:t>
      </w:r>
      <w:r w:rsidRPr="00F15FF0">
        <w:rPr>
          <w:rFonts w:ascii="Arial" w:eastAsia="Times New Roman" w:hAnsi="Arial" w:cs="Arial"/>
          <w:b/>
          <w:bCs/>
          <w:kern w:val="0"/>
          <w:sz w:val="22"/>
          <w:szCs w:val="22"/>
          <w:lang w:val="tr-TR" w:eastAsia="tr-TR"/>
          <w14:ligatures w14:val="none"/>
        </w:rPr>
        <w:t>Distinguished Academics, Researchers, Industry Representatives, Dear Students, and Valued Guests joining us from around the world;</w:t>
      </w:r>
    </w:p>
    <w:p w14:paraId="380E9BEF"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 xml:space="preserve">It is my great pleasure to welcome you all, on behalf of Istanbul Gelisim University, to the </w:t>
      </w:r>
      <w:r w:rsidRPr="00F15FF0">
        <w:rPr>
          <w:rFonts w:ascii="Arial" w:eastAsia="Times New Roman" w:hAnsi="Arial" w:cs="Arial"/>
          <w:b/>
          <w:bCs/>
          <w:kern w:val="0"/>
          <w:sz w:val="22"/>
          <w:szCs w:val="22"/>
          <w:lang w:val="tr-TR" w:eastAsia="tr-TR"/>
          <w14:ligatures w14:val="none"/>
        </w:rPr>
        <w:t>International Conference on Information Systems and Intelligent Technologies (INSIGHT 2026).</w:t>
      </w:r>
    </w:p>
    <w:p w14:paraId="2380EE93" w14:textId="0249D7AA"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We are truly honored to host this international conference in collaboration with our esteemed partners</w:t>
      </w:r>
      <w:r w:rsidR="00341A90">
        <w:rPr>
          <w:rFonts w:ascii="Arial" w:eastAsia="Times New Roman" w:hAnsi="Arial" w:cs="Arial"/>
          <w:kern w:val="0"/>
          <w:sz w:val="22"/>
          <w:szCs w:val="22"/>
          <w:lang w:val="tr-TR" w:eastAsia="tr-TR"/>
          <w14:ligatures w14:val="none"/>
        </w:rPr>
        <w:t xml:space="preserve"> </w:t>
      </w:r>
      <w:r w:rsidRPr="00F15FF0">
        <w:rPr>
          <w:rFonts w:ascii="Arial" w:eastAsia="Times New Roman" w:hAnsi="Arial" w:cs="Arial"/>
          <w:b/>
          <w:bCs/>
          <w:kern w:val="0"/>
          <w:sz w:val="22"/>
          <w:szCs w:val="22"/>
          <w:lang w:val="tr-TR" w:eastAsia="tr-TR"/>
          <w14:ligatures w14:val="none"/>
        </w:rPr>
        <w:t>Universiti Tun Hussein</w:t>
      </w:r>
      <w:r w:rsidR="00341A90">
        <w:rPr>
          <w:rFonts w:ascii="Arial" w:eastAsia="Times New Roman" w:hAnsi="Arial" w:cs="Arial"/>
          <w:b/>
          <w:bCs/>
          <w:kern w:val="0"/>
          <w:sz w:val="22"/>
          <w:szCs w:val="22"/>
          <w:lang w:val="tr-TR" w:eastAsia="tr-TR"/>
          <w14:ligatures w14:val="none"/>
        </w:rPr>
        <w:t xml:space="preserve"> Onn</w:t>
      </w:r>
      <w:r w:rsidRPr="00F15FF0">
        <w:rPr>
          <w:rFonts w:ascii="Arial" w:eastAsia="Times New Roman" w:hAnsi="Arial" w:cs="Arial"/>
          <w:b/>
          <w:bCs/>
          <w:kern w:val="0"/>
          <w:sz w:val="22"/>
          <w:szCs w:val="22"/>
          <w:lang w:val="tr-TR" w:eastAsia="tr-TR"/>
          <w14:ligatures w14:val="none"/>
        </w:rPr>
        <w:t xml:space="preserve"> Malaysia, Asia Pacific Research and Knowledge Network, Centro Algoritmi, </w:t>
      </w:r>
      <w:r>
        <w:rPr>
          <w:rFonts w:ascii="Arial" w:eastAsia="Times New Roman" w:hAnsi="Arial" w:cs="Arial"/>
          <w:b/>
          <w:bCs/>
          <w:kern w:val="0"/>
          <w:sz w:val="22"/>
          <w:szCs w:val="22"/>
          <w:lang w:val="tr-TR" w:eastAsia="tr-TR"/>
          <w14:ligatures w14:val="none"/>
        </w:rPr>
        <w:t xml:space="preserve">Binus University </w:t>
      </w:r>
      <w:r w:rsidRPr="00F15FF0">
        <w:rPr>
          <w:rFonts w:ascii="Arial" w:eastAsia="Times New Roman" w:hAnsi="Arial" w:cs="Arial"/>
          <w:b/>
          <w:bCs/>
          <w:kern w:val="0"/>
          <w:sz w:val="22"/>
          <w:szCs w:val="22"/>
          <w:lang w:val="tr-TR" w:eastAsia="tr-TR"/>
          <w14:ligatures w14:val="none"/>
        </w:rPr>
        <w:t>and Brawijaya University</w:t>
      </w:r>
      <w:r w:rsidRPr="00F15FF0">
        <w:rPr>
          <w:rFonts w:ascii="Arial" w:eastAsia="Times New Roman" w:hAnsi="Arial" w:cs="Arial"/>
          <w:kern w:val="0"/>
          <w:sz w:val="22"/>
          <w:szCs w:val="22"/>
          <w:lang w:val="tr-TR" w:eastAsia="tr-TR"/>
          <w14:ligatures w14:val="none"/>
        </w:rPr>
        <w:t>. It is a privilege to welcome all of you to our university and to share this important academic platform together.</w:t>
      </w:r>
    </w:p>
    <w:p w14:paraId="244D5392"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Today, we gather not only to present our latest research findings but also to exchange ideas, strengthen international collaborations, and collectively shape the future of information systems and artificial intelligence.</w:t>
      </w:r>
    </w:p>
    <w:p w14:paraId="458BDD88"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b/>
          <w:bCs/>
          <w:kern w:val="0"/>
          <w:sz w:val="22"/>
          <w:szCs w:val="22"/>
          <w:lang w:val="tr-TR" w:eastAsia="tr-TR"/>
          <w14:ligatures w14:val="none"/>
        </w:rPr>
        <w:t>Distinguished Guests,</w:t>
      </w:r>
    </w:p>
    <w:p w14:paraId="21BE8DEA"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Information systems and artificial intelligence have become far more than technological tools. Today, they are strategic enablers of sustainable development, economic growth, organizational resilience, and social well-being. Their influence extends well beyond engineering and computer science, transforming business, education, healthcare, public administration, and virtually every sector of society.</w:t>
      </w:r>
    </w:p>
    <w:p w14:paraId="265705E1"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 xml:space="preserve">In this context, the theme of this year's conference, </w:t>
      </w:r>
      <w:r w:rsidRPr="00F15FF0">
        <w:rPr>
          <w:rFonts w:ascii="Arial" w:eastAsia="Times New Roman" w:hAnsi="Arial" w:cs="Arial"/>
          <w:b/>
          <w:bCs/>
          <w:kern w:val="0"/>
          <w:sz w:val="22"/>
          <w:szCs w:val="22"/>
          <w:lang w:val="tr-TR" w:eastAsia="tr-TR"/>
          <w14:ligatures w14:val="none"/>
        </w:rPr>
        <w:t>"Integrating Information Systems and Artificial Intelligence Technology for Sustainable Innovation and Development,"</w:t>
      </w:r>
      <w:r w:rsidRPr="00F15FF0">
        <w:rPr>
          <w:rFonts w:ascii="Arial" w:eastAsia="Times New Roman" w:hAnsi="Arial" w:cs="Arial"/>
          <w:kern w:val="0"/>
          <w:sz w:val="22"/>
          <w:szCs w:val="22"/>
          <w:lang w:val="tr-TR" w:eastAsia="tr-TR"/>
          <w14:ligatures w14:val="none"/>
        </w:rPr>
        <w:t xml:space="preserve"> reflects not only today's technological priorities but also our shared responsibility for the future. Ensuring that artificial intelligence is developed and implemented in an ethical, trustworthy, and sustainable manner has become a common objective for academia, industry, and policymakers alike.</w:t>
      </w:r>
    </w:p>
    <w:p w14:paraId="7389413B"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Over the next two days, INSIGHT 2026 will provide an inspiring platform for discussing a broad spectrum of emerging topics, including artificial intelligence and machine learning, big data analytics, digital transformation strategies, blockchain technologies, cloud computing, the Internet of Things, cybersecurity, smart cities, digital governance, Industry 4.0, and AI-enhanced education.</w:t>
      </w:r>
    </w:p>
    <w:p w14:paraId="739872FC"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However, I believe the greatest value of INSIGHT 2026 lies beyond the research papers that will be presented. The true success of this conference will be measured by the new ideas it inspires, the international collaborations it initiates, and the interdisciplinary partnerships it fosters. Scientific progress flourishes when diverse perspectives, cultures, and expertise come together to address global challenges.</w:t>
      </w:r>
    </w:p>
    <w:p w14:paraId="3A8025CF"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lastRenderedPageBreak/>
        <w:t>At Istanbul Gelisim University, we are firmly committed to research excellence, internationalization, and interdisciplinary collaboration. Supporting scientific research and creating opportunities for global academic engagement remain among our highest priorities. Conferences such as INSIGHT 2026 play a vital role in advancing these objectives by encouraging knowledge exchange and establishing long-lasting international research partnerships.</w:t>
      </w:r>
    </w:p>
    <w:p w14:paraId="61373E34"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 xml:space="preserve">We are also delighted that the accepted papers presented at INSIGHT 2026 will be published in </w:t>
      </w:r>
      <w:r w:rsidRPr="00F15FF0">
        <w:rPr>
          <w:rFonts w:ascii="Arial" w:eastAsia="Times New Roman" w:hAnsi="Arial" w:cs="Arial"/>
          <w:b/>
          <w:bCs/>
          <w:kern w:val="0"/>
          <w:sz w:val="22"/>
          <w:szCs w:val="22"/>
          <w:lang w:val="tr-TR" w:eastAsia="tr-TR"/>
          <w14:ligatures w14:val="none"/>
        </w:rPr>
        <w:t>Springer's Lecture Notes in Networks and Systems (LNNS)</w:t>
      </w:r>
      <w:r w:rsidRPr="00F15FF0">
        <w:rPr>
          <w:rFonts w:ascii="Arial" w:eastAsia="Times New Roman" w:hAnsi="Arial" w:cs="Arial"/>
          <w:kern w:val="0"/>
          <w:sz w:val="22"/>
          <w:szCs w:val="22"/>
          <w:lang w:val="tr-TR" w:eastAsia="tr-TR"/>
          <w14:ligatures w14:val="none"/>
        </w:rPr>
        <w:t xml:space="preserve"> series, providing participants with valuable international visibility and contributing to the dissemination of high-quality scientific research.</w:t>
      </w:r>
    </w:p>
    <w:p w14:paraId="1F5A4016"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b/>
          <w:bCs/>
          <w:kern w:val="0"/>
          <w:sz w:val="22"/>
          <w:szCs w:val="22"/>
          <w:lang w:val="tr-TR" w:eastAsia="tr-TR"/>
          <w14:ligatures w14:val="none"/>
        </w:rPr>
        <w:t>Dear Colleagues, Distinguished Guests,</w:t>
      </w:r>
    </w:p>
    <w:p w14:paraId="645954BF"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Science is a universal language that transcends geographical boundaries, cultures, and disciplines. Gatherings such as this not only advance knowledge but also strengthen mutual understanding, encourage innovation, and build lasting academic relationships that contribute to a more sustainable and inclusive future.</w:t>
      </w:r>
    </w:p>
    <w:p w14:paraId="52150B89"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On this occasion, I would like to express my sincere gratitude to our conference partners, the members of the scientific committee, reviewers, organizing committee, and everyone whose dedication and hard work have made INSIGHT 2026 possible. My heartfelt thanks also go to all authors, presenters, and participants for sharing their valuable knowledge and expertise with us.</w:t>
      </w:r>
    </w:p>
    <w:p w14:paraId="0C68730B"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I sincerely hope that INSIGHT 2026 will inspire meaningful discussions, foster innovative collaborations, and contribute significantly to the advancement of information systems and artificial intelligence research.</w:t>
      </w:r>
    </w:p>
    <w:p w14:paraId="1E123288"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Thank you once again for your participation and valuable contributions.</w:t>
      </w:r>
    </w:p>
    <w:p w14:paraId="3B295476"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kern w:val="0"/>
          <w:sz w:val="22"/>
          <w:szCs w:val="22"/>
          <w:lang w:val="tr-TR" w:eastAsia="tr-TR"/>
          <w14:ligatures w14:val="none"/>
        </w:rPr>
        <w:t>I wish you all a productive, inspiring, and successful conference.</w:t>
      </w:r>
    </w:p>
    <w:p w14:paraId="3B9A1087" w14:textId="77777777" w:rsidR="00F15FF0" w:rsidRPr="00F15FF0" w:rsidRDefault="00F15FF0" w:rsidP="00F15FF0">
      <w:pPr>
        <w:spacing w:before="100" w:beforeAutospacing="1" w:after="100" w:afterAutospacing="1" w:line="240" w:lineRule="auto"/>
        <w:jc w:val="both"/>
        <w:rPr>
          <w:rFonts w:ascii="Arial" w:eastAsia="Times New Roman" w:hAnsi="Arial" w:cs="Arial"/>
          <w:kern w:val="0"/>
          <w:sz w:val="22"/>
          <w:szCs w:val="22"/>
          <w:lang w:val="tr-TR" w:eastAsia="tr-TR"/>
          <w14:ligatures w14:val="none"/>
        </w:rPr>
      </w:pPr>
      <w:r w:rsidRPr="00F15FF0">
        <w:rPr>
          <w:rFonts w:ascii="Arial" w:eastAsia="Times New Roman" w:hAnsi="Arial" w:cs="Arial"/>
          <w:b/>
          <w:bCs/>
          <w:kern w:val="0"/>
          <w:sz w:val="22"/>
          <w:szCs w:val="22"/>
          <w:lang w:val="tr-TR" w:eastAsia="tr-TR"/>
          <w14:ligatures w14:val="none"/>
        </w:rPr>
        <w:t>Thank you.</w:t>
      </w:r>
    </w:p>
    <w:p w14:paraId="7CABE4ED" w14:textId="77777777" w:rsidR="00F15FF0" w:rsidRPr="00F15FF0" w:rsidRDefault="00F15FF0" w:rsidP="00054431">
      <w:pPr>
        <w:spacing w:after="0" w:line="240" w:lineRule="auto"/>
        <w:jc w:val="center"/>
        <w:rPr>
          <w:rFonts w:ascii="Arial" w:eastAsia="Aptos" w:hAnsi="Arial" w:cs="Arial"/>
          <w:b/>
          <w:bCs/>
          <w:sz w:val="22"/>
          <w:szCs w:val="22"/>
        </w:rPr>
      </w:pPr>
    </w:p>
    <w:p w14:paraId="125019B1" w14:textId="4D14A4B4" w:rsidR="00F15FF0" w:rsidRPr="00F15FF0" w:rsidRDefault="00F15FF0">
      <w:pPr>
        <w:rPr>
          <w:rFonts w:ascii="Arial" w:eastAsia="Aptos" w:hAnsi="Arial" w:cs="Arial"/>
          <w:b/>
          <w:bCs/>
          <w:sz w:val="22"/>
          <w:szCs w:val="22"/>
        </w:rPr>
      </w:pPr>
      <w:r w:rsidRPr="00F15FF0">
        <w:rPr>
          <w:rFonts w:ascii="Arial" w:eastAsia="Aptos" w:hAnsi="Arial" w:cs="Arial"/>
          <w:b/>
          <w:bCs/>
          <w:sz w:val="22"/>
          <w:szCs w:val="22"/>
        </w:rPr>
        <w:br w:type="page"/>
      </w:r>
    </w:p>
    <w:p w14:paraId="2BFF73F8" w14:textId="77777777" w:rsidR="00F15FF0" w:rsidRDefault="00F15FF0" w:rsidP="00054431">
      <w:pPr>
        <w:spacing w:after="0" w:line="240" w:lineRule="auto"/>
        <w:jc w:val="center"/>
        <w:rPr>
          <w:rFonts w:ascii="Arial" w:eastAsia="Aptos" w:hAnsi="Arial" w:cs="Arial"/>
          <w:b/>
          <w:bCs/>
          <w:sz w:val="22"/>
          <w:szCs w:val="22"/>
        </w:rPr>
      </w:pPr>
    </w:p>
    <w:p w14:paraId="10BA3527" w14:textId="39042980" w:rsidR="00054431" w:rsidRDefault="00054431" w:rsidP="00F15FF0">
      <w:pPr>
        <w:spacing w:after="0" w:line="240" w:lineRule="auto"/>
        <w:rPr>
          <w:rFonts w:ascii="Arial" w:eastAsia="Aptos" w:hAnsi="Arial" w:cs="Arial"/>
          <w:b/>
          <w:bCs/>
          <w:sz w:val="22"/>
          <w:szCs w:val="22"/>
        </w:rPr>
      </w:pPr>
      <w:r w:rsidRPr="00A95F91">
        <w:rPr>
          <w:rFonts w:ascii="Arial" w:eastAsia="Aptos" w:hAnsi="Arial" w:cs="Arial"/>
          <w:b/>
          <w:bCs/>
          <w:sz w:val="22"/>
          <w:szCs w:val="22"/>
        </w:rPr>
        <w:t>O</w:t>
      </w:r>
      <w:r w:rsidR="00F15FF0">
        <w:rPr>
          <w:rFonts w:ascii="Arial" w:eastAsia="Aptos" w:hAnsi="Arial" w:cs="Arial"/>
          <w:b/>
          <w:bCs/>
          <w:sz w:val="22"/>
          <w:szCs w:val="22"/>
        </w:rPr>
        <w:t>PENING REMARKS</w:t>
      </w:r>
    </w:p>
    <w:p w14:paraId="7E2E31DD" w14:textId="77777777" w:rsidR="00F15FF0" w:rsidRPr="00A95F91" w:rsidRDefault="00F15FF0" w:rsidP="00054431">
      <w:pPr>
        <w:spacing w:after="0" w:line="240" w:lineRule="auto"/>
        <w:jc w:val="center"/>
        <w:rPr>
          <w:rFonts w:ascii="Arial" w:eastAsia="Aptos" w:hAnsi="Arial" w:cs="Arial"/>
          <w:b/>
          <w:bCs/>
          <w:sz w:val="22"/>
          <w:szCs w:val="22"/>
        </w:rPr>
      </w:pPr>
    </w:p>
    <w:p w14:paraId="5295D8A2" w14:textId="77777777" w:rsidR="00054431" w:rsidRPr="00A95F91" w:rsidRDefault="00054431" w:rsidP="00054431">
      <w:pPr>
        <w:spacing w:after="0" w:line="240" w:lineRule="auto"/>
        <w:jc w:val="center"/>
        <w:rPr>
          <w:rFonts w:ascii="Arial" w:eastAsia="Aptos" w:hAnsi="Arial" w:cs="Arial"/>
          <w:b/>
          <w:bCs/>
          <w:sz w:val="22"/>
          <w:szCs w:val="22"/>
        </w:rPr>
      </w:pPr>
    </w:p>
    <w:p w14:paraId="59A492EB" w14:textId="77777777" w:rsidR="00054431" w:rsidRPr="00A95F91" w:rsidRDefault="00054431" w:rsidP="00054431">
      <w:pPr>
        <w:spacing w:after="0" w:line="240" w:lineRule="auto"/>
        <w:jc w:val="both"/>
        <w:rPr>
          <w:rFonts w:ascii="Arial" w:eastAsia="Aptos" w:hAnsi="Arial" w:cs="Arial"/>
          <w:sz w:val="22"/>
          <w:szCs w:val="22"/>
        </w:rPr>
      </w:pPr>
      <w:r w:rsidRPr="00A95F91">
        <w:rPr>
          <w:rFonts w:ascii="Arial" w:eastAsia="Aptos" w:hAnsi="Arial" w:cs="Arial"/>
          <w:sz w:val="22"/>
          <w:szCs w:val="22"/>
        </w:rPr>
        <w:t xml:space="preserve">Assalamualaikum </w:t>
      </w:r>
      <w:r w:rsidRPr="00A95F91">
        <w:rPr>
          <w:rFonts w:ascii="Arial" w:eastAsia="Aptos" w:hAnsi="Arial" w:cs="Arial"/>
          <w:kern w:val="0"/>
          <w:sz w:val="22"/>
          <w:szCs w:val="22"/>
        </w:rPr>
        <w:t xml:space="preserve">warahmatullahi wabarakatuh </w:t>
      </w:r>
      <w:r w:rsidRPr="00A95F91">
        <w:rPr>
          <w:rFonts w:ascii="Arial" w:eastAsia="Aptos" w:hAnsi="Arial" w:cs="Arial"/>
          <w:sz w:val="22"/>
          <w:szCs w:val="22"/>
        </w:rPr>
        <w:t>and Good Day.</w:t>
      </w:r>
    </w:p>
    <w:p w14:paraId="19A539EF" w14:textId="77777777" w:rsidR="00054431" w:rsidRPr="00A95F91" w:rsidRDefault="00054431" w:rsidP="00054431">
      <w:pPr>
        <w:spacing w:after="0" w:line="240" w:lineRule="auto"/>
        <w:jc w:val="both"/>
        <w:rPr>
          <w:rFonts w:ascii="Arial" w:eastAsia="Aptos" w:hAnsi="Arial" w:cs="Arial"/>
          <w:sz w:val="22"/>
          <w:szCs w:val="22"/>
        </w:rPr>
      </w:pPr>
      <w:r w:rsidRPr="00A95F91">
        <w:rPr>
          <w:rFonts w:ascii="Arial" w:eastAsia="Aptos" w:hAnsi="Arial" w:cs="Arial"/>
          <w:sz w:val="22"/>
          <w:szCs w:val="22"/>
        </w:rPr>
        <w:t>Distinguished Guests, Keynote Speakers, Colleagues, and Participants,</w:t>
      </w:r>
    </w:p>
    <w:p w14:paraId="72AC4343" w14:textId="77777777" w:rsidR="00054431" w:rsidRPr="00A95F91" w:rsidRDefault="00054431" w:rsidP="00054431">
      <w:pPr>
        <w:spacing w:after="0" w:line="240" w:lineRule="auto"/>
        <w:jc w:val="center"/>
        <w:rPr>
          <w:rFonts w:ascii="Arial" w:eastAsia="Aptos" w:hAnsi="Arial" w:cs="Arial"/>
          <w:b/>
          <w:bCs/>
          <w:sz w:val="22"/>
          <w:szCs w:val="22"/>
        </w:rPr>
      </w:pPr>
    </w:p>
    <w:p w14:paraId="559D5F71" w14:textId="77777777" w:rsidR="00054431" w:rsidRPr="00A95F91" w:rsidRDefault="00054431" w:rsidP="00054431">
      <w:pPr>
        <w:spacing w:after="0" w:line="240" w:lineRule="auto"/>
        <w:jc w:val="both"/>
        <w:rPr>
          <w:rFonts w:ascii="Arial" w:eastAsia="Aptos" w:hAnsi="Arial" w:cs="Arial"/>
          <w:sz w:val="22"/>
          <w:szCs w:val="22"/>
        </w:rPr>
      </w:pPr>
      <w:r w:rsidRPr="00A95F91">
        <w:rPr>
          <w:rFonts w:ascii="Arial" w:eastAsia="Aptos" w:hAnsi="Arial" w:cs="Arial"/>
          <w:sz w:val="22"/>
          <w:szCs w:val="22"/>
        </w:rPr>
        <w:t xml:space="preserve">It is our great pleasure and honour to welcome all of you to the </w:t>
      </w:r>
      <w:r w:rsidRPr="00A95F91">
        <w:rPr>
          <w:rFonts w:ascii="Arial" w:eastAsia="Aptos" w:hAnsi="Arial" w:cs="Arial"/>
          <w:b/>
          <w:bCs/>
          <w:sz w:val="22"/>
          <w:szCs w:val="22"/>
        </w:rPr>
        <w:t>2026 International Conference on Information Systems and Intelligent Technologies (INSIGHT 2026)</w:t>
      </w:r>
      <w:r w:rsidRPr="00A95F91">
        <w:rPr>
          <w:rFonts w:ascii="Arial" w:eastAsia="Aptos" w:hAnsi="Arial" w:cs="Arial"/>
          <w:sz w:val="22"/>
          <w:szCs w:val="22"/>
        </w:rPr>
        <w:t xml:space="preserve">, held on </w:t>
      </w:r>
      <w:r w:rsidRPr="00A95F91">
        <w:rPr>
          <w:rFonts w:ascii="Arial" w:eastAsia="Aptos" w:hAnsi="Arial" w:cs="Arial"/>
          <w:b/>
          <w:bCs/>
          <w:sz w:val="22"/>
          <w:szCs w:val="22"/>
        </w:rPr>
        <w:t>19–20th August 2026</w:t>
      </w:r>
      <w:r w:rsidRPr="00A95F91">
        <w:rPr>
          <w:rFonts w:ascii="Arial" w:eastAsia="Aptos" w:hAnsi="Arial" w:cs="Arial"/>
          <w:sz w:val="22"/>
          <w:szCs w:val="22"/>
        </w:rPr>
        <w:t xml:space="preserve"> at the </w:t>
      </w:r>
      <w:r w:rsidRPr="00A95F91">
        <w:rPr>
          <w:rFonts w:ascii="Arial" w:eastAsia="Aptos" w:hAnsi="Arial" w:cs="Arial"/>
          <w:b/>
          <w:bCs/>
          <w:sz w:val="22"/>
          <w:szCs w:val="22"/>
        </w:rPr>
        <w:t>Istanbul Gelisim University, Istanbul, Türkiye</w:t>
      </w:r>
      <w:r w:rsidRPr="00A95F91">
        <w:rPr>
          <w:rFonts w:ascii="Arial" w:eastAsia="Aptos" w:hAnsi="Arial" w:cs="Arial"/>
          <w:sz w:val="22"/>
          <w:szCs w:val="22"/>
        </w:rPr>
        <w:t>.</w:t>
      </w:r>
    </w:p>
    <w:p w14:paraId="116366DE" w14:textId="77777777" w:rsidR="00054431" w:rsidRPr="00A95F91" w:rsidRDefault="00054431" w:rsidP="00054431">
      <w:pPr>
        <w:spacing w:after="0" w:line="240" w:lineRule="auto"/>
        <w:jc w:val="both"/>
        <w:rPr>
          <w:rFonts w:ascii="Arial" w:eastAsia="Aptos" w:hAnsi="Arial" w:cs="Arial"/>
          <w:sz w:val="22"/>
          <w:szCs w:val="22"/>
        </w:rPr>
      </w:pPr>
    </w:p>
    <w:p w14:paraId="2D6E0CF2" w14:textId="77777777" w:rsidR="00054431" w:rsidRPr="00A95F91" w:rsidRDefault="00054431" w:rsidP="00054431">
      <w:pPr>
        <w:spacing w:after="0" w:line="240" w:lineRule="auto"/>
        <w:jc w:val="both"/>
        <w:rPr>
          <w:rFonts w:ascii="Arial" w:eastAsia="Aptos" w:hAnsi="Arial" w:cs="Arial"/>
          <w:kern w:val="0"/>
          <w:sz w:val="22"/>
          <w:szCs w:val="22"/>
        </w:rPr>
      </w:pPr>
      <w:r w:rsidRPr="00A95F91">
        <w:rPr>
          <w:rFonts w:ascii="Arial" w:eastAsia="Aptos" w:hAnsi="Arial" w:cs="Arial"/>
          <w:kern w:val="0"/>
          <w:sz w:val="22"/>
          <w:szCs w:val="22"/>
        </w:rPr>
        <w:t xml:space="preserve">On behalf of the Faculty of Computer Science and Information Technology, Universiti Tun Hussein Onn Malaysia, we would like to extend my heartfelt appreciation to every participant, presenter, reviewer, session chair, keynote speaker, sponsor, collaborator, and member of the organising committee for the invaluable contributions towards the organization and success of this conference. </w:t>
      </w:r>
    </w:p>
    <w:p w14:paraId="71F35F87" w14:textId="77777777" w:rsidR="00054431" w:rsidRPr="00A95F91" w:rsidRDefault="00054431" w:rsidP="00054431">
      <w:pPr>
        <w:spacing w:after="0" w:line="240" w:lineRule="auto"/>
        <w:jc w:val="both"/>
        <w:rPr>
          <w:rFonts w:ascii="Arial" w:eastAsia="Aptos" w:hAnsi="Arial" w:cs="Arial"/>
          <w:kern w:val="0"/>
          <w:sz w:val="22"/>
          <w:szCs w:val="22"/>
        </w:rPr>
      </w:pPr>
    </w:p>
    <w:p w14:paraId="20A4A00D" w14:textId="77777777" w:rsidR="00054431" w:rsidRPr="00A95F91" w:rsidRDefault="00054431" w:rsidP="00054431">
      <w:pPr>
        <w:spacing w:after="0" w:line="240" w:lineRule="auto"/>
        <w:jc w:val="both"/>
        <w:rPr>
          <w:rFonts w:ascii="Arial" w:eastAsia="Aptos" w:hAnsi="Arial" w:cs="Arial"/>
          <w:sz w:val="22"/>
          <w:szCs w:val="22"/>
          <w:lang w:val="en-US"/>
        </w:rPr>
      </w:pPr>
      <w:r w:rsidRPr="00A95F91">
        <w:rPr>
          <w:rFonts w:ascii="Arial" w:eastAsia="Aptos" w:hAnsi="Arial" w:cs="Arial"/>
          <w:sz w:val="22"/>
          <w:szCs w:val="22"/>
          <w:lang w:val="en-US"/>
        </w:rPr>
        <w:t xml:space="preserve">INSIGHT 2026, the second edition of the hybrid international conference, is designed to convene distinguished educators, researchers, industry leaders, policymakers, and stakeholders from across the globe. Guided by the overarching theme of Sustainability and Future-Ready Innovation in Information Systems, the conference seeks to advance scholarly discourse and foster collaborative engagement in addressing complex global challenges through sustainable, ethical, and technology-driven solutions. INSIGHT 2026 will feature a comprehensive program of high-quality research presentations, empirical investigations, and applied case studies in Information Systems and related disciplines, that particularly emphasis on sustainable digital transformation, green and responsible computing, data-driven governance, intelligent systems, cybersecurity resilience, and innovative Information Systems frameworks that support environmental stewardship, social responsibility, and economic sustainability. </w:t>
      </w:r>
    </w:p>
    <w:p w14:paraId="669CDCAD" w14:textId="77777777" w:rsidR="00054431" w:rsidRPr="00A95F91" w:rsidRDefault="00054431" w:rsidP="00054431">
      <w:pPr>
        <w:spacing w:after="0" w:line="240" w:lineRule="auto"/>
        <w:jc w:val="both"/>
        <w:rPr>
          <w:rFonts w:ascii="Arial" w:eastAsia="Aptos" w:hAnsi="Arial" w:cs="Arial"/>
          <w:sz w:val="22"/>
          <w:szCs w:val="22"/>
          <w:lang w:val="en-US"/>
        </w:rPr>
      </w:pPr>
    </w:p>
    <w:p w14:paraId="2ACABD67" w14:textId="77777777" w:rsidR="00054431" w:rsidRPr="00A95F91" w:rsidRDefault="00054431" w:rsidP="00054431">
      <w:pPr>
        <w:spacing w:after="0" w:line="240" w:lineRule="auto"/>
        <w:jc w:val="both"/>
        <w:rPr>
          <w:rFonts w:ascii="Arial" w:eastAsia="Aptos" w:hAnsi="Arial" w:cs="Arial"/>
          <w:kern w:val="0"/>
          <w:sz w:val="22"/>
          <w:szCs w:val="22"/>
        </w:rPr>
      </w:pPr>
      <w:r w:rsidRPr="00A95F91">
        <w:rPr>
          <w:rFonts w:ascii="Arial" w:eastAsia="Aptos" w:hAnsi="Arial" w:cs="Arial"/>
          <w:kern w:val="0"/>
          <w:sz w:val="22"/>
          <w:szCs w:val="22"/>
        </w:rPr>
        <w:t xml:space="preserve">This year's conference theme, </w:t>
      </w:r>
      <w:r w:rsidRPr="00A95F91">
        <w:rPr>
          <w:rFonts w:ascii="Arial" w:eastAsia="Aptos" w:hAnsi="Arial" w:cs="Arial"/>
          <w:b/>
          <w:bCs/>
          <w:sz w:val="22"/>
          <w:szCs w:val="22"/>
        </w:rPr>
        <w:t xml:space="preserve">“THEME: INTEGRATING INFORMATION SYSTEM AND ARTIFICIAL INTELLIGENCE TECHNOLOGY FOR SUSTAINABLE INOVATION AND DEVELOPMENT”, </w:t>
      </w:r>
      <w:r w:rsidRPr="00A95F91">
        <w:rPr>
          <w:rFonts w:ascii="Arial" w:eastAsia="Aptos" w:hAnsi="Arial" w:cs="Arial"/>
          <w:kern w:val="0"/>
          <w:sz w:val="22"/>
          <w:szCs w:val="22"/>
        </w:rPr>
        <w:t>perfectly reflects the rapid evolution of today's digital landscape. Artificial Intelligence has become far more than an emerging technology. It is now transforming industries, revolutionising research, and reshaping the way we learn, work, communicate, and solve complex real-world problems.</w:t>
      </w:r>
    </w:p>
    <w:p w14:paraId="3ED0E91E" w14:textId="77777777" w:rsidR="00054431" w:rsidRPr="00A95F91" w:rsidRDefault="00054431" w:rsidP="00054431">
      <w:pPr>
        <w:spacing w:after="0" w:line="240" w:lineRule="auto"/>
        <w:jc w:val="both"/>
        <w:rPr>
          <w:rFonts w:ascii="Arial" w:eastAsia="Aptos" w:hAnsi="Arial" w:cs="Arial"/>
          <w:kern w:val="0"/>
          <w:sz w:val="22"/>
          <w:szCs w:val="22"/>
        </w:rPr>
      </w:pPr>
    </w:p>
    <w:p w14:paraId="6F8BEF6C" w14:textId="77777777" w:rsidR="00054431" w:rsidRPr="00A95F91" w:rsidRDefault="00054431" w:rsidP="00054431">
      <w:pPr>
        <w:spacing w:after="0" w:line="240" w:lineRule="auto"/>
        <w:jc w:val="both"/>
        <w:rPr>
          <w:rFonts w:ascii="Arial" w:eastAsia="Aptos" w:hAnsi="Arial" w:cs="Arial"/>
          <w:kern w:val="0"/>
          <w:sz w:val="22"/>
          <w:szCs w:val="22"/>
        </w:rPr>
      </w:pPr>
      <w:r w:rsidRPr="00A95F91">
        <w:rPr>
          <w:rFonts w:ascii="Arial" w:eastAsia="Aptos" w:hAnsi="Arial" w:cs="Arial"/>
          <w:kern w:val="0"/>
          <w:sz w:val="22"/>
          <w:szCs w:val="22"/>
        </w:rPr>
        <w:t xml:space="preserve">With this transformation comes a greater responsibility. As researchers and innovators, our mission extends beyond developing intelligent algorithms and systems or achieving higher predictive accuracy. Our </w:t>
      </w:r>
      <w:proofErr w:type="gramStart"/>
      <w:r w:rsidRPr="00A95F91">
        <w:rPr>
          <w:rFonts w:ascii="Arial" w:eastAsia="Aptos" w:hAnsi="Arial" w:cs="Arial"/>
          <w:kern w:val="0"/>
          <w:sz w:val="22"/>
          <w:szCs w:val="22"/>
        </w:rPr>
        <w:t>ultimate goal</w:t>
      </w:r>
      <w:proofErr w:type="gramEnd"/>
      <w:r w:rsidRPr="00A95F91">
        <w:rPr>
          <w:rFonts w:ascii="Arial" w:eastAsia="Aptos" w:hAnsi="Arial" w:cs="Arial"/>
          <w:kern w:val="0"/>
          <w:sz w:val="22"/>
          <w:szCs w:val="22"/>
        </w:rPr>
        <w:t xml:space="preserve"> should be to create technologies that improve lives, empower communities, address societal challenges, and contribute to sustainable development. </w:t>
      </w:r>
      <w:r w:rsidRPr="00A95F91">
        <w:rPr>
          <w:rFonts w:ascii="Arial" w:eastAsia="Aptos" w:hAnsi="Arial" w:cs="Arial"/>
          <w:sz w:val="22"/>
          <w:szCs w:val="22"/>
        </w:rPr>
        <w:t>Let us share a bit on the economic and global landscape shifting due to digitalization and AI. The numbers supporting this shift are staggering:</w:t>
      </w:r>
    </w:p>
    <w:p w14:paraId="666D0608" w14:textId="77777777" w:rsidR="00054431" w:rsidRPr="00A95F91" w:rsidRDefault="00054431" w:rsidP="00054431">
      <w:pPr>
        <w:numPr>
          <w:ilvl w:val="0"/>
          <w:numId w:val="7"/>
        </w:numPr>
        <w:spacing w:after="0" w:line="240" w:lineRule="auto"/>
        <w:jc w:val="both"/>
        <w:rPr>
          <w:rFonts w:ascii="Arial" w:eastAsia="Aptos" w:hAnsi="Arial" w:cs="Arial"/>
          <w:sz w:val="22"/>
          <w:szCs w:val="22"/>
        </w:rPr>
      </w:pPr>
      <w:r w:rsidRPr="00A95F91">
        <w:rPr>
          <w:rFonts w:ascii="Arial" w:eastAsia="Aptos" w:hAnsi="Arial" w:cs="Arial"/>
          <w:sz w:val="22"/>
          <w:szCs w:val="22"/>
        </w:rPr>
        <w:t xml:space="preserve">By 2030, the global AI market is projected to reach $739 billion, with the Generative AI sector alone hitting $207 billion. </w:t>
      </w:r>
    </w:p>
    <w:p w14:paraId="7F8D4E39" w14:textId="77777777" w:rsidR="00054431" w:rsidRPr="00A95F91" w:rsidRDefault="00054431" w:rsidP="00054431">
      <w:pPr>
        <w:numPr>
          <w:ilvl w:val="0"/>
          <w:numId w:val="7"/>
        </w:numPr>
        <w:spacing w:after="0" w:line="240" w:lineRule="auto"/>
        <w:jc w:val="both"/>
        <w:rPr>
          <w:rFonts w:ascii="Arial" w:eastAsia="Aptos" w:hAnsi="Arial" w:cs="Arial"/>
          <w:sz w:val="22"/>
          <w:szCs w:val="22"/>
        </w:rPr>
      </w:pPr>
      <w:r w:rsidRPr="00A95F91">
        <w:rPr>
          <w:rFonts w:ascii="Arial" w:eastAsia="Aptos" w:hAnsi="Arial" w:cs="Arial"/>
          <w:sz w:val="22"/>
          <w:szCs w:val="22"/>
        </w:rPr>
        <w:t xml:space="preserve">In the APAC region, the AI market size is expected to reach $216 billion. </w:t>
      </w:r>
    </w:p>
    <w:p w14:paraId="6AFEE16E" w14:textId="77777777" w:rsidR="00054431" w:rsidRPr="00A95F91" w:rsidRDefault="00054431" w:rsidP="00054431">
      <w:pPr>
        <w:numPr>
          <w:ilvl w:val="0"/>
          <w:numId w:val="7"/>
        </w:numPr>
        <w:spacing w:after="0" w:line="240" w:lineRule="auto"/>
        <w:jc w:val="both"/>
        <w:rPr>
          <w:rFonts w:ascii="Arial" w:eastAsia="Aptos" w:hAnsi="Arial" w:cs="Arial"/>
          <w:sz w:val="22"/>
          <w:szCs w:val="22"/>
        </w:rPr>
      </w:pPr>
      <w:r w:rsidRPr="00A95F91">
        <w:rPr>
          <w:rFonts w:ascii="Arial" w:eastAsia="Aptos" w:hAnsi="Arial" w:cs="Arial"/>
          <w:sz w:val="22"/>
          <w:szCs w:val="22"/>
        </w:rPr>
        <w:t xml:space="preserve">AI has the potential to add 1.2% to baseline economic growth. </w:t>
      </w:r>
    </w:p>
    <w:p w14:paraId="4F1B3B8F" w14:textId="77777777" w:rsidR="00054431" w:rsidRPr="00A95F91" w:rsidRDefault="00054431" w:rsidP="00054431">
      <w:pPr>
        <w:numPr>
          <w:ilvl w:val="0"/>
          <w:numId w:val="7"/>
        </w:numPr>
        <w:spacing w:after="0" w:line="240" w:lineRule="auto"/>
        <w:jc w:val="both"/>
        <w:rPr>
          <w:rFonts w:ascii="Arial" w:eastAsia="Aptos" w:hAnsi="Arial" w:cs="Arial"/>
          <w:sz w:val="22"/>
          <w:szCs w:val="22"/>
        </w:rPr>
      </w:pPr>
      <w:r w:rsidRPr="00A95F91">
        <w:rPr>
          <w:rFonts w:ascii="Arial" w:eastAsia="Aptos" w:hAnsi="Arial" w:cs="Arial"/>
          <w:sz w:val="22"/>
          <w:szCs w:val="22"/>
        </w:rPr>
        <w:t xml:space="preserve">In Malaysian context, due to Malaysia’s vision as AI nation in 2030, Malaysia is making significant strides, ranking 23rd in the 2023 Global AI Government Readiness Index. </w:t>
      </w:r>
    </w:p>
    <w:p w14:paraId="62C8CDDD" w14:textId="77777777" w:rsidR="00054431" w:rsidRPr="00A95F91" w:rsidRDefault="00054431" w:rsidP="00054431">
      <w:pPr>
        <w:spacing w:after="0" w:line="240" w:lineRule="auto"/>
        <w:jc w:val="both"/>
        <w:rPr>
          <w:rFonts w:ascii="Arial" w:eastAsia="Aptos" w:hAnsi="Arial" w:cs="Arial"/>
          <w:kern w:val="0"/>
          <w:sz w:val="22"/>
          <w:szCs w:val="22"/>
        </w:rPr>
      </w:pPr>
    </w:p>
    <w:p w14:paraId="4C8E8D39" w14:textId="77777777" w:rsidR="00054431" w:rsidRPr="00A95F91" w:rsidRDefault="00054431" w:rsidP="00054431">
      <w:pPr>
        <w:spacing w:after="0" w:line="240" w:lineRule="auto"/>
        <w:jc w:val="both"/>
        <w:rPr>
          <w:rFonts w:ascii="Arial" w:eastAsia="Aptos" w:hAnsi="Arial" w:cs="Arial"/>
          <w:kern w:val="0"/>
          <w:sz w:val="22"/>
          <w:szCs w:val="22"/>
        </w:rPr>
      </w:pPr>
      <w:r w:rsidRPr="00A95F91">
        <w:rPr>
          <w:rFonts w:ascii="Arial" w:eastAsia="Aptos" w:hAnsi="Arial" w:cs="Arial"/>
          <w:kern w:val="0"/>
          <w:sz w:val="22"/>
          <w:szCs w:val="22"/>
        </w:rPr>
        <w:t>Research thrives through collaboration. Many of today's greatest scientific breakthroughs are no longer achieved by individuals working in isolation, but through multidisciplinary and international partnerships. Conferences like INSIGHT serve as important platforms for bringing together researchers with diverse expertise, enabling us to learn from one another and build meaningful collaborations that extend well beyond this event. We sincerely hope that the conversations initiated during this conference will continue long after today's closing ceremony. May they lead to joint research projects, international grants, collaborative publications, student exchanges, and innovations that benefit society.</w:t>
      </w:r>
    </w:p>
    <w:p w14:paraId="13CC99CD" w14:textId="77777777" w:rsidR="00054431" w:rsidRPr="00A95F91" w:rsidRDefault="00054431" w:rsidP="00054431">
      <w:pPr>
        <w:spacing w:after="0" w:line="240" w:lineRule="auto"/>
        <w:jc w:val="both"/>
        <w:rPr>
          <w:rFonts w:ascii="Arial" w:eastAsia="Aptos" w:hAnsi="Arial" w:cs="Arial"/>
          <w:kern w:val="0"/>
          <w:sz w:val="22"/>
          <w:szCs w:val="22"/>
        </w:rPr>
      </w:pPr>
    </w:p>
    <w:p w14:paraId="2B351C00" w14:textId="77777777" w:rsidR="00054431" w:rsidRPr="00A95F91" w:rsidRDefault="00054431" w:rsidP="00054431">
      <w:pPr>
        <w:spacing w:after="0" w:line="240" w:lineRule="auto"/>
        <w:jc w:val="both"/>
        <w:rPr>
          <w:rFonts w:ascii="Arial" w:eastAsia="Aptos" w:hAnsi="Arial" w:cs="Arial"/>
          <w:kern w:val="0"/>
          <w:sz w:val="22"/>
          <w:szCs w:val="22"/>
        </w:rPr>
      </w:pPr>
      <w:r w:rsidRPr="00A95F91">
        <w:rPr>
          <w:rFonts w:ascii="Arial" w:eastAsia="Aptos" w:hAnsi="Arial" w:cs="Arial"/>
          <w:kern w:val="0"/>
          <w:sz w:val="22"/>
          <w:szCs w:val="22"/>
        </w:rPr>
        <w:t>An event of this scale cannot succeed without the dedication and commitment of many individuals working tirelessly behind the scenes. We would therefore like to express my deepest appreciation to the Organising Committee, led by Prof. Ts. Dr Deden Witarsyah, together with every committee member, keynote speakers, volunteer, reviewer, session chair, technical support team, and administrative staff for the hard work over the past several months. The team professionalism, dedication, and teamwork have made INSIGHT 2026 a truly successful international conference.</w:t>
      </w:r>
    </w:p>
    <w:p w14:paraId="2F7FED44" w14:textId="77777777" w:rsidR="00054431" w:rsidRPr="00A95F91" w:rsidRDefault="00054431" w:rsidP="00054431">
      <w:pPr>
        <w:spacing w:after="0" w:line="240" w:lineRule="auto"/>
        <w:jc w:val="both"/>
        <w:rPr>
          <w:rFonts w:ascii="Arial" w:eastAsia="Aptos" w:hAnsi="Arial" w:cs="Arial"/>
          <w:kern w:val="0"/>
          <w:sz w:val="22"/>
          <w:szCs w:val="22"/>
        </w:rPr>
      </w:pPr>
    </w:p>
    <w:p w14:paraId="59BE0532" w14:textId="77777777" w:rsidR="00054431" w:rsidRPr="00A95F91" w:rsidRDefault="00054431" w:rsidP="00054431">
      <w:pPr>
        <w:spacing w:after="0" w:line="240" w:lineRule="auto"/>
        <w:jc w:val="both"/>
        <w:rPr>
          <w:rFonts w:ascii="Arial" w:eastAsia="Aptos" w:hAnsi="Arial" w:cs="Arial"/>
          <w:kern w:val="0"/>
          <w:sz w:val="22"/>
          <w:szCs w:val="22"/>
        </w:rPr>
      </w:pPr>
      <w:r w:rsidRPr="00A95F91">
        <w:rPr>
          <w:rFonts w:ascii="Arial" w:eastAsia="Aptos" w:hAnsi="Arial" w:cs="Arial"/>
          <w:kern w:val="0"/>
          <w:sz w:val="22"/>
          <w:szCs w:val="22"/>
        </w:rPr>
        <w:t>After we conclude INSIGHT 2026, we encourage all of us to continue embracing curiosity, innovation, and collaboration. Let us continue to push the boundaries of knowledge, explore emerging technologies responsibly, and ensure that our research creates meaningful impact for humanity. We also hope that each participant leaves this conference with more than just a certificate or conference proceedings. We hope this conference has created lasting professional connections that will lead to future collaborations, joint publications, and innovative research projects.</w:t>
      </w:r>
    </w:p>
    <w:p w14:paraId="69DA318B" w14:textId="77777777" w:rsidR="00054431" w:rsidRPr="00A95F91" w:rsidRDefault="00054431" w:rsidP="00054431">
      <w:pPr>
        <w:spacing w:after="0" w:line="240" w:lineRule="auto"/>
        <w:jc w:val="both"/>
        <w:rPr>
          <w:rFonts w:ascii="Arial" w:eastAsia="Aptos" w:hAnsi="Arial" w:cs="Arial"/>
          <w:kern w:val="0"/>
          <w:sz w:val="22"/>
          <w:szCs w:val="22"/>
        </w:rPr>
      </w:pPr>
    </w:p>
    <w:p w14:paraId="72AB8E4A" w14:textId="77777777" w:rsidR="00054431" w:rsidRPr="00A95F91" w:rsidRDefault="00054431" w:rsidP="00054431">
      <w:pPr>
        <w:spacing w:after="0" w:line="240" w:lineRule="auto"/>
        <w:jc w:val="both"/>
        <w:rPr>
          <w:rFonts w:ascii="Arial" w:eastAsia="Aptos" w:hAnsi="Arial" w:cs="Arial"/>
          <w:kern w:val="0"/>
          <w:sz w:val="22"/>
          <w:szCs w:val="22"/>
        </w:rPr>
      </w:pPr>
      <w:r w:rsidRPr="00A95F91">
        <w:rPr>
          <w:rFonts w:ascii="Arial" w:eastAsia="Aptos" w:hAnsi="Arial" w:cs="Arial"/>
          <w:kern w:val="0"/>
          <w:sz w:val="22"/>
          <w:szCs w:val="22"/>
        </w:rPr>
        <w:t>After all, the true success of a conference is not measured by the number of papers presented or the number of participants attending. It is measured by the collaborations that begin here, the ideas that continue to grow, and the positive impact our collective work will create in the years ahead.</w:t>
      </w:r>
    </w:p>
    <w:p w14:paraId="3A7EA332" w14:textId="77777777" w:rsidR="00054431" w:rsidRPr="00A95F91" w:rsidRDefault="00054431" w:rsidP="00054431">
      <w:pPr>
        <w:spacing w:after="0" w:line="240" w:lineRule="auto"/>
        <w:jc w:val="both"/>
        <w:rPr>
          <w:rFonts w:ascii="Arial" w:eastAsia="Aptos" w:hAnsi="Arial" w:cs="Arial"/>
          <w:kern w:val="0"/>
          <w:sz w:val="22"/>
          <w:szCs w:val="22"/>
        </w:rPr>
      </w:pPr>
    </w:p>
    <w:p w14:paraId="274787D0" w14:textId="77777777" w:rsidR="00054431" w:rsidRPr="00A95F91" w:rsidRDefault="00054431" w:rsidP="00054431">
      <w:pPr>
        <w:spacing w:after="0" w:line="240" w:lineRule="auto"/>
        <w:jc w:val="both"/>
        <w:rPr>
          <w:rFonts w:ascii="Arial" w:eastAsia="Aptos" w:hAnsi="Arial" w:cs="Arial"/>
          <w:kern w:val="0"/>
          <w:sz w:val="22"/>
          <w:szCs w:val="22"/>
        </w:rPr>
      </w:pPr>
      <w:r w:rsidRPr="00A95F91">
        <w:rPr>
          <w:rFonts w:ascii="Arial" w:eastAsia="Aptos" w:hAnsi="Arial" w:cs="Arial"/>
          <w:kern w:val="0"/>
          <w:sz w:val="22"/>
          <w:szCs w:val="22"/>
        </w:rPr>
        <w:t>Finally, we look forward to welcoming all of you again at the next edition of INSIGHT, where we will continue to strengthen our global research community and shape the future together. Thank you.</w:t>
      </w:r>
    </w:p>
    <w:p w14:paraId="7E31F772" w14:textId="77777777" w:rsidR="00054431" w:rsidRPr="00A95F91" w:rsidRDefault="00054431" w:rsidP="00054431">
      <w:pPr>
        <w:spacing w:after="0" w:line="240" w:lineRule="auto"/>
        <w:jc w:val="both"/>
        <w:rPr>
          <w:rFonts w:ascii="Arial" w:eastAsia="Aptos" w:hAnsi="Arial" w:cs="Arial"/>
          <w:kern w:val="0"/>
          <w:sz w:val="22"/>
          <w:szCs w:val="22"/>
        </w:rPr>
      </w:pPr>
    </w:p>
    <w:p w14:paraId="5DEEDC27" w14:textId="77777777" w:rsidR="00054431" w:rsidRPr="00A95F91" w:rsidRDefault="00054431" w:rsidP="00054431">
      <w:pPr>
        <w:spacing w:after="0" w:line="240" w:lineRule="auto"/>
        <w:jc w:val="both"/>
        <w:rPr>
          <w:rFonts w:ascii="Arial" w:eastAsia="Aptos" w:hAnsi="Arial" w:cs="Arial"/>
          <w:kern w:val="0"/>
          <w:sz w:val="22"/>
          <w:szCs w:val="22"/>
        </w:rPr>
      </w:pPr>
    </w:p>
    <w:p w14:paraId="2F80BB3B" w14:textId="77777777" w:rsidR="00054431" w:rsidRPr="00A95F91" w:rsidRDefault="00054431" w:rsidP="00054431">
      <w:pPr>
        <w:spacing w:after="0" w:line="240" w:lineRule="auto"/>
        <w:jc w:val="both"/>
        <w:rPr>
          <w:rFonts w:ascii="Arial" w:eastAsia="Aptos" w:hAnsi="Arial" w:cs="Arial"/>
          <w:sz w:val="22"/>
          <w:szCs w:val="22"/>
          <w:lang w:val="en-US"/>
        </w:rPr>
      </w:pPr>
      <w:r w:rsidRPr="00A95F91">
        <w:rPr>
          <w:rFonts w:ascii="Arial" w:eastAsia="Aptos" w:hAnsi="Arial" w:cs="Arial"/>
          <w:sz w:val="22"/>
          <w:szCs w:val="22"/>
          <w:lang w:val="en-US"/>
        </w:rPr>
        <w:t>Professor Ts. Dr. Mohd. Farhan Md. Fudzee</w:t>
      </w:r>
    </w:p>
    <w:p w14:paraId="789B91F5" w14:textId="77777777" w:rsidR="00054431" w:rsidRPr="00A95F91" w:rsidRDefault="00054431" w:rsidP="00054431">
      <w:pPr>
        <w:spacing w:after="0" w:line="240" w:lineRule="auto"/>
        <w:jc w:val="both"/>
        <w:rPr>
          <w:rFonts w:ascii="Arial" w:eastAsia="Aptos" w:hAnsi="Arial" w:cs="Arial"/>
          <w:sz w:val="22"/>
          <w:szCs w:val="22"/>
          <w:lang w:val="en-US"/>
        </w:rPr>
      </w:pPr>
      <w:r w:rsidRPr="00A95F91">
        <w:rPr>
          <w:rFonts w:ascii="Arial" w:eastAsia="Aptos" w:hAnsi="Arial" w:cs="Arial"/>
          <w:sz w:val="22"/>
          <w:szCs w:val="22"/>
          <w:lang w:val="en-US"/>
        </w:rPr>
        <w:t>Dean of Faculty of Computer Science and Information Technology (FSKTM), Universiti Tun Hussein Onn Malaysia (UTHM)</w:t>
      </w:r>
    </w:p>
    <w:p w14:paraId="033B67CF" w14:textId="77777777" w:rsidR="00054431" w:rsidRPr="00054431" w:rsidRDefault="00054431" w:rsidP="00054431">
      <w:pPr>
        <w:spacing w:after="0" w:line="240" w:lineRule="auto"/>
        <w:jc w:val="center"/>
        <w:rPr>
          <w:rFonts w:ascii="Arial" w:eastAsia="Aptos" w:hAnsi="Arial" w:cs="Arial"/>
          <w:b/>
          <w:bCs/>
        </w:rPr>
      </w:pPr>
    </w:p>
    <w:p w14:paraId="190A10CC" w14:textId="77777777" w:rsidR="00054431" w:rsidRPr="00054431" w:rsidRDefault="00054431" w:rsidP="00054431">
      <w:pPr>
        <w:spacing w:after="0" w:line="240" w:lineRule="auto"/>
        <w:rPr>
          <w:rFonts w:ascii="Arial" w:eastAsia="Aptos" w:hAnsi="Arial" w:cs="Arial"/>
        </w:rPr>
      </w:pPr>
    </w:p>
    <w:p w14:paraId="3233161D" w14:textId="77777777" w:rsidR="00054431" w:rsidRPr="00054431" w:rsidRDefault="00054431" w:rsidP="00054431">
      <w:pPr>
        <w:spacing w:after="0" w:line="240" w:lineRule="auto"/>
        <w:rPr>
          <w:rFonts w:ascii="Arial" w:eastAsia="Aptos" w:hAnsi="Arial" w:cs="Arial"/>
        </w:rPr>
      </w:pPr>
    </w:p>
    <w:p w14:paraId="1F16EB61" w14:textId="1D28C174" w:rsidR="00054431" w:rsidRDefault="00054431" w:rsidP="00054431">
      <w:pPr>
        <w:rPr>
          <w:b/>
          <w:bCs/>
        </w:rPr>
      </w:pPr>
      <w:r>
        <w:rPr>
          <w:b/>
          <w:bCs/>
        </w:rPr>
        <w:br w:type="page"/>
      </w:r>
    </w:p>
    <w:p w14:paraId="79E13062" w14:textId="534527DB" w:rsidR="00CC5A88" w:rsidRPr="00C25035" w:rsidRDefault="00CC5A88" w:rsidP="00F15FF0">
      <w:pPr>
        <w:spacing w:after="0"/>
        <w:rPr>
          <w:rFonts w:ascii="Arial" w:hAnsi="Arial" w:cs="Arial"/>
          <w:b/>
          <w:bCs/>
          <w:sz w:val="22"/>
          <w:szCs w:val="22"/>
        </w:rPr>
      </w:pPr>
      <w:r w:rsidRPr="00C25035">
        <w:rPr>
          <w:rFonts w:ascii="Arial" w:hAnsi="Arial" w:cs="Arial"/>
          <w:b/>
          <w:bCs/>
          <w:sz w:val="22"/>
          <w:szCs w:val="22"/>
        </w:rPr>
        <w:lastRenderedPageBreak/>
        <w:t>WELCOME MESSAGE FROM THE DEAN OF THE FACULTY OF COMPUTER SCIENCE, UNIVERSITAS BRAWIJAYA</w:t>
      </w:r>
    </w:p>
    <w:p w14:paraId="4F0A2366" w14:textId="77777777" w:rsidR="00CC5A88" w:rsidRPr="00C25035" w:rsidRDefault="00CC5A88" w:rsidP="00CC5A88">
      <w:pPr>
        <w:spacing w:after="0"/>
        <w:jc w:val="both"/>
        <w:rPr>
          <w:rFonts w:ascii="Arial" w:hAnsi="Arial" w:cs="Arial"/>
          <w:sz w:val="22"/>
          <w:szCs w:val="22"/>
        </w:rPr>
      </w:pPr>
    </w:p>
    <w:p w14:paraId="52FCED60"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Distinguished Guests, Keynote Speakers, Colleagues, and Participants,</w:t>
      </w:r>
    </w:p>
    <w:p w14:paraId="4C2B563D" w14:textId="77777777" w:rsidR="00CC5A88" w:rsidRPr="00C25035" w:rsidRDefault="00CC5A88" w:rsidP="00CC5A88">
      <w:pPr>
        <w:spacing w:after="0"/>
        <w:jc w:val="both"/>
        <w:rPr>
          <w:rFonts w:ascii="Arial" w:hAnsi="Arial" w:cs="Arial"/>
          <w:sz w:val="22"/>
          <w:szCs w:val="22"/>
        </w:rPr>
      </w:pPr>
    </w:p>
    <w:p w14:paraId="35983E3F"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 xml:space="preserve">On behalf of the Faculty of Computer Science, Universitas Brawijaya (FILKOM UB), it is my great honor and pleasure to welcome you to the </w:t>
      </w:r>
      <w:r w:rsidRPr="00C25035">
        <w:rPr>
          <w:rFonts w:ascii="Arial" w:hAnsi="Arial" w:cs="Arial"/>
          <w:b/>
          <w:bCs/>
          <w:sz w:val="22"/>
          <w:szCs w:val="22"/>
        </w:rPr>
        <w:t>2026 International Conference on Information Systems and Intelligent Technologies (INSIGHT 2026), to be held on 19–20 August 2026.</w:t>
      </w:r>
    </w:p>
    <w:p w14:paraId="2C98D9CB" w14:textId="77777777" w:rsidR="00CC5A88" w:rsidRPr="00C25035" w:rsidRDefault="00CC5A88" w:rsidP="00CC5A88">
      <w:pPr>
        <w:spacing w:after="0"/>
        <w:jc w:val="both"/>
        <w:rPr>
          <w:rFonts w:ascii="Arial" w:hAnsi="Arial" w:cs="Arial"/>
          <w:sz w:val="22"/>
          <w:szCs w:val="22"/>
        </w:rPr>
      </w:pPr>
    </w:p>
    <w:p w14:paraId="7EE81197"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INSIGHT 2026 is jointly organized by the Faculty of Computer Science, Universitas Brawijaya, Indonesia; Istanbul Gelisim University; the Asia Pacific Research and Knowledge Network; and Centro Algoritmi. This conference represents an important milestone in our collective efforts to advance knowledge, strengthen international collaboration, and contribute to the future of sustainable digital innovation.</w:t>
      </w:r>
    </w:p>
    <w:p w14:paraId="27F7CDAF" w14:textId="77777777" w:rsidR="00CC5A88" w:rsidRPr="00C25035" w:rsidRDefault="00CC5A88" w:rsidP="00CC5A88">
      <w:pPr>
        <w:spacing w:after="0"/>
        <w:jc w:val="both"/>
        <w:rPr>
          <w:rFonts w:ascii="Arial" w:hAnsi="Arial" w:cs="Arial"/>
          <w:sz w:val="22"/>
          <w:szCs w:val="22"/>
        </w:rPr>
      </w:pPr>
    </w:p>
    <w:p w14:paraId="689A87EA"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 xml:space="preserve">The conference theme, </w:t>
      </w:r>
      <w:r w:rsidRPr="00C25035">
        <w:rPr>
          <w:rFonts w:ascii="Arial" w:hAnsi="Arial" w:cs="Arial"/>
          <w:b/>
          <w:bCs/>
          <w:sz w:val="22"/>
          <w:szCs w:val="22"/>
        </w:rPr>
        <w:t>“Integrating Information Systems and Artificial Intelligence Technologies for Sustainable Innovation and Development,”</w:t>
      </w:r>
      <w:r w:rsidRPr="00C25035">
        <w:rPr>
          <w:rFonts w:ascii="Arial" w:hAnsi="Arial" w:cs="Arial"/>
          <w:sz w:val="22"/>
          <w:szCs w:val="22"/>
        </w:rPr>
        <w:t xml:space="preserve"> reflects the realities of today’s rapidly evolving digital landscape. Technological advancements continue to transform industries and redefine how people live, work, communicate, and interact. In an era shaped by artificial intelligence, the Internet of Things, and data-driven systems, the development of secure, intelligent, sustainable, and interconnected technologies is essential to building a trustworthy and resilient digital future.</w:t>
      </w:r>
    </w:p>
    <w:p w14:paraId="0B5D17F1" w14:textId="77777777" w:rsidR="00CC5A88" w:rsidRPr="00C25035" w:rsidRDefault="00CC5A88" w:rsidP="00CC5A88">
      <w:pPr>
        <w:spacing w:after="0"/>
        <w:jc w:val="both"/>
        <w:rPr>
          <w:rFonts w:ascii="Arial" w:hAnsi="Arial" w:cs="Arial"/>
          <w:sz w:val="22"/>
          <w:szCs w:val="22"/>
        </w:rPr>
      </w:pPr>
    </w:p>
    <w:p w14:paraId="0D6C3CAA"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INSIGHT 2026 provides an important platform for knowledge exchange, collaboration, and innovation in the fields of information systems, artificial intelligence, and data science. The conference brings together scholars, researchers, industry professionals, practitioners, and other stakeholders to discuss sustainable practices, address emerging challenges, present technological advancements, and establish meaningful professional networks. Through these activities, we hope to contribute to the continued development of these closely interconnected fields.</w:t>
      </w:r>
    </w:p>
    <w:p w14:paraId="0C5FFD82" w14:textId="77777777" w:rsidR="00CC5A88" w:rsidRPr="00C25035" w:rsidRDefault="00CC5A88" w:rsidP="00CC5A88">
      <w:pPr>
        <w:spacing w:after="0"/>
        <w:jc w:val="both"/>
        <w:rPr>
          <w:rFonts w:ascii="Arial" w:hAnsi="Arial" w:cs="Arial"/>
          <w:sz w:val="22"/>
          <w:szCs w:val="22"/>
        </w:rPr>
      </w:pPr>
    </w:p>
    <w:p w14:paraId="598D1D19"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We are delighted to welcome authors and participants from more than five countries. We are also proud to witness the continued growth of INSIGHT as an internationally recognized academic forum. Beyond disseminating research findings, INSIGHT seeks to build bridges among academic, professional, and industrial communities, strengthen regional and international innovation ecosystems, and nurture the next generation of digital leaders.</w:t>
      </w:r>
    </w:p>
    <w:p w14:paraId="15A21CC1" w14:textId="77777777" w:rsidR="00CC5A88" w:rsidRPr="00C25035" w:rsidRDefault="00CC5A88" w:rsidP="00CC5A88">
      <w:pPr>
        <w:spacing w:after="0"/>
        <w:jc w:val="both"/>
        <w:rPr>
          <w:rFonts w:ascii="Arial" w:hAnsi="Arial" w:cs="Arial"/>
          <w:sz w:val="22"/>
          <w:szCs w:val="22"/>
        </w:rPr>
      </w:pPr>
    </w:p>
    <w:p w14:paraId="0735D555"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All accepted papers presented at INSIGHT 2026 will be published as part of Springer’s Lecture Notes in Networks and Systems (LNNS) book series and indexed in major scientific databases. This publication opportunity reflects our commitment to academic excellence, scholarly recognition, and global research visibility.</w:t>
      </w:r>
    </w:p>
    <w:p w14:paraId="3745E0B7" w14:textId="77777777" w:rsidR="00CC5A88" w:rsidRPr="00C25035" w:rsidRDefault="00CC5A88" w:rsidP="00CC5A88">
      <w:pPr>
        <w:spacing w:after="0"/>
        <w:jc w:val="both"/>
        <w:rPr>
          <w:rFonts w:ascii="Arial" w:hAnsi="Arial" w:cs="Arial"/>
          <w:sz w:val="22"/>
          <w:szCs w:val="22"/>
        </w:rPr>
      </w:pPr>
    </w:p>
    <w:p w14:paraId="0ECAA739"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I extend my sincere appreciation to the organizing committee, keynote speakers, reviewers, authors, sponsors, institutional partners, and all participants whose dedication and contributions have made this conference possible.</w:t>
      </w:r>
    </w:p>
    <w:p w14:paraId="0F7DE7EA" w14:textId="77777777" w:rsidR="00CC5A88" w:rsidRPr="00C25035" w:rsidRDefault="00CC5A88" w:rsidP="00CC5A88">
      <w:pPr>
        <w:spacing w:after="0"/>
        <w:jc w:val="both"/>
        <w:rPr>
          <w:rFonts w:ascii="Arial" w:hAnsi="Arial" w:cs="Arial"/>
          <w:sz w:val="22"/>
          <w:szCs w:val="22"/>
        </w:rPr>
      </w:pPr>
    </w:p>
    <w:p w14:paraId="6C36A3F1"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I wish everyone an inspiring, productive, and memorable conference. May INSIGHT 2026 generate meaningful discussions, foster new partnerships, and inspire innovative ideas that contribute to a secure, intelligent, sustainable, and connected future for all.</w:t>
      </w:r>
    </w:p>
    <w:p w14:paraId="073C4DA4" w14:textId="77777777" w:rsidR="00CC5A88" w:rsidRPr="00C25035" w:rsidRDefault="00CC5A88" w:rsidP="00CC5A88">
      <w:pPr>
        <w:spacing w:after="0"/>
        <w:jc w:val="both"/>
        <w:rPr>
          <w:rFonts w:ascii="Arial" w:hAnsi="Arial" w:cs="Arial"/>
          <w:sz w:val="22"/>
          <w:szCs w:val="22"/>
        </w:rPr>
      </w:pPr>
    </w:p>
    <w:p w14:paraId="2F7B2E13"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Thank you for being part of INSIGHT 2026.</w:t>
      </w:r>
    </w:p>
    <w:p w14:paraId="23A349CC" w14:textId="77777777" w:rsidR="00CC5A88" w:rsidRPr="00C25035" w:rsidRDefault="00CC5A88" w:rsidP="00CC5A88">
      <w:pPr>
        <w:spacing w:after="0"/>
        <w:jc w:val="both"/>
        <w:rPr>
          <w:rFonts w:ascii="Arial" w:hAnsi="Arial" w:cs="Arial"/>
          <w:sz w:val="22"/>
          <w:szCs w:val="22"/>
        </w:rPr>
      </w:pPr>
    </w:p>
    <w:p w14:paraId="4A52E81B"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Warm regards,</w:t>
      </w:r>
    </w:p>
    <w:p w14:paraId="699F3B35" w14:textId="77777777" w:rsidR="00CC5A88" w:rsidRPr="00C25035" w:rsidRDefault="00CC5A88" w:rsidP="00CC5A88">
      <w:pPr>
        <w:spacing w:after="0"/>
        <w:jc w:val="both"/>
        <w:rPr>
          <w:rFonts w:ascii="Arial" w:hAnsi="Arial" w:cs="Arial"/>
          <w:sz w:val="22"/>
          <w:szCs w:val="22"/>
        </w:rPr>
      </w:pPr>
    </w:p>
    <w:p w14:paraId="1CAF5392" w14:textId="33D34EE5" w:rsidR="00CC5A88" w:rsidRPr="00C25035" w:rsidRDefault="00A95F91" w:rsidP="00CC5A88">
      <w:pPr>
        <w:spacing w:after="0"/>
        <w:jc w:val="both"/>
        <w:rPr>
          <w:rFonts w:ascii="Arial" w:hAnsi="Arial" w:cs="Arial"/>
          <w:sz w:val="22"/>
          <w:szCs w:val="22"/>
        </w:rPr>
      </w:pPr>
      <w:r w:rsidRPr="00C25035">
        <w:rPr>
          <w:rFonts w:ascii="Arial" w:hAnsi="Arial" w:cs="Arial"/>
          <w:sz w:val="22"/>
          <w:szCs w:val="22"/>
        </w:rPr>
        <w:t xml:space="preserve">Assoc Prof. </w:t>
      </w:r>
      <w:r w:rsidR="00CC5A88" w:rsidRPr="00C25035">
        <w:rPr>
          <w:rFonts w:ascii="Arial" w:hAnsi="Arial" w:cs="Arial"/>
          <w:sz w:val="22"/>
          <w:szCs w:val="22"/>
        </w:rPr>
        <w:t>Ir. Tri Astoto Kurniawan, S.T., M.T., Ph.D., IPM</w:t>
      </w:r>
    </w:p>
    <w:p w14:paraId="0D25D06C"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Dean of the Faculty of Computer Science</w:t>
      </w:r>
    </w:p>
    <w:p w14:paraId="7EB9848A" w14:textId="77777777" w:rsidR="00CC5A88" w:rsidRPr="00C25035" w:rsidRDefault="00CC5A88" w:rsidP="00CC5A88">
      <w:pPr>
        <w:spacing w:after="0"/>
        <w:jc w:val="both"/>
        <w:rPr>
          <w:rFonts w:ascii="Arial" w:hAnsi="Arial" w:cs="Arial"/>
          <w:sz w:val="22"/>
          <w:szCs w:val="22"/>
        </w:rPr>
      </w:pPr>
      <w:r w:rsidRPr="00C25035">
        <w:rPr>
          <w:rFonts w:ascii="Arial" w:hAnsi="Arial" w:cs="Arial"/>
          <w:sz w:val="22"/>
          <w:szCs w:val="22"/>
        </w:rPr>
        <w:t>Universitas Brawijaya</w:t>
      </w:r>
    </w:p>
    <w:p w14:paraId="5B005065" w14:textId="77777777" w:rsidR="00A95F91" w:rsidRPr="00C25035" w:rsidRDefault="00A95F91" w:rsidP="00CC5A88">
      <w:pPr>
        <w:spacing w:after="0"/>
        <w:jc w:val="both"/>
        <w:rPr>
          <w:rFonts w:ascii="Arial" w:hAnsi="Arial" w:cs="Arial"/>
          <w:sz w:val="22"/>
          <w:szCs w:val="22"/>
        </w:rPr>
      </w:pPr>
    </w:p>
    <w:p w14:paraId="794A975A" w14:textId="3D9D52A7" w:rsidR="00A95F91" w:rsidRPr="00C25035" w:rsidRDefault="00A95F91">
      <w:pPr>
        <w:rPr>
          <w:rFonts w:ascii="Arial" w:hAnsi="Arial" w:cs="Arial"/>
          <w:sz w:val="22"/>
          <w:szCs w:val="22"/>
        </w:rPr>
      </w:pPr>
      <w:r w:rsidRPr="00C25035">
        <w:rPr>
          <w:rFonts w:ascii="Arial" w:hAnsi="Arial" w:cs="Arial"/>
          <w:sz w:val="22"/>
          <w:szCs w:val="22"/>
        </w:rPr>
        <w:br w:type="page"/>
      </w:r>
    </w:p>
    <w:p w14:paraId="07195DEF" w14:textId="77777777" w:rsidR="00A95F91" w:rsidRPr="00C25035" w:rsidRDefault="00A95F91" w:rsidP="00F15FF0">
      <w:pPr>
        <w:spacing w:after="0" w:line="276" w:lineRule="auto"/>
        <w:rPr>
          <w:rFonts w:ascii="Arial" w:eastAsia="Aptos" w:hAnsi="Arial" w:cs="Arial"/>
          <w:b/>
          <w:bCs/>
          <w:sz w:val="22"/>
          <w:szCs w:val="22"/>
        </w:rPr>
      </w:pPr>
      <w:r w:rsidRPr="00C25035">
        <w:rPr>
          <w:rFonts w:ascii="Arial" w:eastAsia="Aptos" w:hAnsi="Arial" w:cs="Arial"/>
          <w:b/>
          <w:bCs/>
          <w:sz w:val="22"/>
          <w:szCs w:val="22"/>
        </w:rPr>
        <w:lastRenderedPageBreak/>
        <w:t>WELCOME MESSAGE FROM THE DEAN OF SCHOOL OF ACCOUNTING</w:t>
      </w:r>
    </w:p>
    <w:p w14:paraId="73354D13" w14:textId="77777777" w:rsidR="00A95F91" w:rsidRPr="00C25035" w:rsidRDefault="00A95F91" w:rsidP="00F15FF0">
      <w:pPr>
        <w:spacing w:after="0" w:line="276" w:lineRule="auto"/>
        <w:rPr>
          <w:rFonts w:ascii="Arial" w:eastAsia="Aptos" w:hAnsi="Arial" w:cs="Arial"/>
          <w:sz w:val="22"/>
          <w:szCs w:val="22"/>
        </w:rPr>
      </w:pPr>
      <w:r w:rsidRPr="00C25035">
        <w:rPr>
          <w:rFonts w:ascii="Arial" w:eastAsia="Aptos" w:hAnsi="Arial" w:cs="Arial"/>
          <w:b/>
          <w:bCs/>
          <w:sz w:val="22"/>
          <w:szCs w:val="22"/>
        </w:rPr>
        <w:t>BINUS UNIVERSITY</w:t>
      </w:r>
    </w:p>
    <w:p w14:paraId="5EDAB508" w14:textId="77777777" w:rsidR="00A95F91" w:rsidRPr="00C25035" w:rsidRDefault="00A95F91" w:rsidP="00A95F91">
      <w:pPr>
        <w:spacing w:line="276" w:lineRule="auto"/>
        <w:jc w:val="both"/>
        <w:rPr>
          <w:rFonts w:ascii="Arial" w:eastAsia="Aptos" w:hAnsi="Arial" w:cs="Arial"/>
          <w:sz w:val="22"/>
          <w:szCs w:val="22"/>
        </w:rPr>
      </w:pPr>
    </w:p>
    <w:p w14:paraId="075FD9BD" w14:textId="77777777" w:rsidR="00A95F91" w:rsidRPr="00C25035" w:rsidRDefault="00A95F91" w:rsidP="00A95F91">
      <w:pPr>
        <w:spacing w:line="276" w:lineRule="auto"/>
        <w:jc w:val="both"/>
        <w:rPr>
          <w:rFonts w:ascii="Arial" w:eastAsia="Aptos" w:hAnsi="Arial" w:cs="Arial"/>
          <w:sz w:val="22"/>
          <w:szCs w:val="22"/>
        </w:rPr>
      </w:pPr>
      <w:r w:rsidRPr="00C25035">
        <w:rPr>
          <w:rFonts w:ascii="Arial" w:eastAsia="Aptos" w:hAnsi="Arial" w:cs="Arial"/>
          <w:sz w:val="22"/>
          <w:szCs w:val="22"/>
        </w:rPr>
        <w:t>Dear Distinguished Speakers, Researchers, Practitioners, Delegates, and Guests,</w:t>
      </w:r>
    </w:p>
    <w:p w14:paraId="0330D55F" w14:textId="77777777" w:rsidR="00A95F91" w:rsidRPr="00C25035" w:rsidRDefault="00A95F91" w:rsidP="00A95F91">
      <w:pPr>
        <w:spacing w:line="276" w:lineRule="auto"/>
        <w:jc w:val="both"/>
        <w:rPr>
          <w:rFonts w:ascii="Arial" w:eastAsia="Aptos" w:hAnsi="Arial" w:cs="Arial"/>
          <w:sz w:val="22"/>
          <w:szCs w:val="22"/>
        </w:rPr>
      </w:pPr>
      <w:r w:rsidRPr="00C25035">
        <w:rPr>
          <w:rFonts w:ascii="Arial" w:eastAsia="Aptos" w:hAnsi="Arial" w:cs="Arial"/>
          <w:sz w:val="22"/>
          <w:szCs w:val="22"/>
        </w:rPr>
        <w:t xml:space="preserve">It is my great pleasure to welcome you to the </w:t>
      </w:r>
      <w:r w:rsidRPr="00C25035">
        <w:rPr>
          <w:rFonts w:ascii="Arial" w:eastAsia="Aptos" w:hAnsi="Arial" w:cs="Arial"/>
          <w:b/>
          <w:bCs/>
          <w:sz w:val="22"/>
          <w:szCs w:val="22"/>
        </w:rPr>
        <w:t>International Conference on Information Systems and Intelligent Technologies (INSIGHT) 2026</w:t>
      </w:r>
      <w:r w:rsidRPr="00C25035">
        <w:rPr>
          <w:rFonts w:ascii="Arial" w:eastAsia="Aptos" w:hAnsi="Arial" w:cs="Arial"/>
          <w:sz w:val="22"/>
          <w:szCs w:val="22"/>
        </w:rPr>
        <w:t>, held on 19–20 August 2026 in Istanbul, Türkiye.</w:t>
      </w:r>
    </w:p>
    <w:p w14:paraId="03764959" w14:textId="77777777" w:rsidR="00A95F91" w:rsidRPr="00C25035" w:rsidRDefault="00A95F91" w:rsidP="00A95F91">
      <w:pPr>
        <w:spacing w:line="276" w:lineRule="auto"/>
        <w:jc w:val="both"/>
        <w:rPr>
          <w:rFonts w:ascii="Arial" w:eastAsia="Aptos" w:hAnsi="Arial" w:cs="Arial"/>
          <w:sz w:val="22"/>
          <w:szCs w:val="22"/>
        </w:rPr>
      </w:pPr>
      <w:r w:rsidRPr="00C25035">
        <w:rPr>
          <w:rFonts w:ascii="Arial" w:eastAsia="Aptos" w:hAnsi="Arial" w:cs="Arial"/>
          <w:sz w:val="22"/>
          <w:szCs w:val="22"/>
        </w:rPr>
        <w:t>On behalf of Binus University, I am honoured to support INSIGHT 2026 as a co-host. This conference brings together researchers, educators, industry professionals, policymakers, and other stakeholders from around the world to exchange ideas and explore how information systems and intelligent technologies can contribute to a more sustainable and inclusive future.</w:t>
      </w:r>
    </w:p>
    <w:p w14:paraId="6BE898C6" w14:textId="77777777" w:rsidR="00A95F91" w:rsidRPr="00C25035" w:rsidRDefault="00A95F91" w:rsidP="00A95F91">
      <w:pPr>
        <w:spacing w:line="276" w:lineRule="auto"/>
        <w:jc w:val="both"/>
        <w:rPr>
          <w:rFonts w:ascii="Arial" w:eastAsia="Aptos" w:hAnsi="Arial" w:cs="Arial"/>
          <w:sz w:val="22"/>
          <w:szCs w:val="22"/>
        </w:rPr>
      </w:pPr>
      <w:r w:rsidRPr="00C25035">
        <w:rPr>
          <w:rFonts w:ascii="Arial" w:eastAsia="Aptos" w:hAnsi="Arial" w:cs="Arial"/>
          <w:sz w:val="22"/>
          <w:szCs w:val="22"/>
        </w:rPr>
        <w:t xml:space="preserve">The conference theme, </w:t>
      </w:r>
      <w:r w:rsidRPr="00C25035">
        <w:rPr>
          <w:rFonts w:ascii="Arial" w:eastAsia="Aptos" w:hAnsi="Arial" w:cs="Arial"/>
          <w:b/>
          <w:bCs/>
          <w:sz w:val="22"/>
          <w:szCs w:val="22"/>
        </w:rPr>
        <w:t>“Integrating Information Systems and Artificial Intelligence Technology for Sustainable Innovation and Development,”</w:t>
      </w:r>
      <w:r w:rsidRPr="00C25035">
        <w:rPr>
          <w:rFonts w:ascii="Arial" w:eastAsia="Aptos" w:hAnsi="Arial" w:cs="Arial"/>
          <w:sz w:val="22"/>
          <w:szCs w:val="22"/>
        </w:rPr>
        <w:t xml:space="preserve"> is highly relevant to the opportunities and challenges we face today. Artificial intelligence and other emerging technologies are transforming how organisations operate, how decisions are made, and how people learn and communicate. At the same time, these developments invite us to consider important questions about ethics, security, privacy, accessibility, and environmental responsibility.</w:t>
      </w:r>
    </w:p>
    <w:p w14:paraId="5539D2AA" w14:textId="77777777" w:rsidR="00A95F91" w:rsidRPr="00C25035" w:rsidRDefault="00A95F91" w:rsidP="00A95F91">
      <w:pPr>
        <w:spacing w:line="276" w:lineRule="auto"/>
        <w:jc w:val="both"/>
        <w:rPr>
          <w:rFonts w:ascii="Arial" w:eastAsia="Aptos" w:hAnsi="Arial" w:cs="Arial"/>
          <w:sz w:val="22"/>
          <w:szCs w:val="22"/>
        </w:rPr>
      </w:pPr>
      <w:r w:rsidRPr="00C25035">
        <w:rPr>
          <w:rFonts w:ascii="Arial" w:eastAsia="Aptos" w:hAnsi="Arial" w:cs="Arial"/>
          <w:sz w:val="22"/>
          <w:szCs w:val="22"/>
        </w:rPr>
        <w:t>INSIGHT 2026 provides a valuable space to explore these questions together. Beyond presenting research findings, the conference offers opportunities to exchange perspectives, learn from different experiences, and build connections across disciplines, institutions, industries, and countries. These conversations are essential because meaningful innovation rarely happens in isolation. It grows through openness, collaboration, and a willingness to learn from one another.</w:t>
      </w:r>
    </w:p>
    <w:p w14:paraId="2653A04C" w14:textId="77777777" w:rsidR="00A95F91" w:rsidRPr="00C25035" w:rsidRDefault="00A95F91" w:rsidP="00A95F91">
      <w:pPr>
        <w:spacing w:line="276" w:lineRule="auto"/>
        <w:jc w:val="both"/>
        <w:rPr>
          <w:rFonts w:ascii="Arial" w:eastAsia="Aptos" w:hAnsi="Arial" w:cs="Arial"/>
          <w:sz w:val="22"/>
          <w:szCs w:val="22"/>
        </w:rPr>
      </w:pPr>
      <w:r w:rsidRPr="00C25035">
        <w:rPr>
          <w:rFonts w:ascii="Arial" w:eastAsia="Aptos" w:hAnsi="Arial" w:cs="Arial"/>
          <w:sz w:val="22"/>
          <w:szCs w:val="22"/>
        </w:rPr>
        <w:t>I hope the ideas shared during this conference will inspire further research, practical solutions, and partnerships that continue long after the event. May INSIGHT 2026 encourage us not only to develop more advanced technologies but also to think carefully about how those technologies can create lasting value for organisations, communities, and society.</w:t>
      </w:r>
    </w:p>
    <w:p w14:paraId="71394398" w14:textId="77777777" w:rsidR="00A95F91" w:rsidRPr="00C25035" w:rsidRDefault="00A95F91" w:rsidP="00A95F91">
      <w:pPr>
        <w:spacing w:line="276" w:lineRule="auto"/>
        <w:jc w:val="both"/>
        <w:rPr>
          <w:rFonts w:ascii="Arial" w:eastAsia="Aptos" w:hAnsi="Arial" w:cs="Arial"/>
          <w:sz w:val="22"/>
          <w:szCs w:val="22"/>
        </w:rPr>
      </w:pPr>
      <w:r w:rsidRPr="00C25035">
        <w:rPr>
          <w:rFonts w:ascii="Arial" w:eastAsia="Aptos" w:hAnsi="Arial" w:cs="Arial"/>
          <w:sz w:val="22"/>
          <w:szCs w:val="22"/>
        </w:rPr>
        <w:t>I would like to express my sincere appreciation to the organising committee, co-organisers, keynote speakers, reviewers, authors, institutional partners, sponsors, and volunteers whose dedication has made this conference possible. I also thank all participants for contributing your knowledge, experience, and curiosity to this international forum.</w:t>
      </w:r>
    </w:p>
    <w:p w14:paraId="3CE32311" w14:textId="77777777" w:rsidR="00A95F91" w:rsidRPr="00C25035" w:rsidRDefault="00A95F91" w:rsidP="00A95F91">
      <w:pPr>
        <w:spacing w:line="276" w:lineRule="auto"/>
        <w:jc w:val="both"/>
        <w:rPr>
          <w:rFonts w:ascii="Arial" w:eastAsia="Aptos" w:hAnsi="Arial" w:cs="Arial"/>
          <w:sz w:val="22"/>
          <w:szCs w:val="22"/>
        </w:rPr>
      </w:pPr>
      <w:r w:rsidRPr="00C25035">
        <w:rPr>
          <w:rFonts w:ascii="Arial" w:eastAsia="Aptos" w:hAnsi="Arial" w:cs="Arial"/>
          <w:sz w:val="22"/>
          <w:szCs w:val="22"/>
        </w:rPr>
        <w:t>For those joining us in person, I hope you will also enjoy the rich history, vibrant culture, and warm hospitality of Istanbul.</w:t>
      </w:r>
    </w:p>
    <w:p w14:paraId="70C51EF6" w14:textId="77777777" w:rsidR="00A95F91" w:rsidRPr="00C25035" w:rsidRDefault="00A95F91" w:rsidP="00A95F91">
      <w:pPr>
        <w:spacing w:line="276" w:lineRule="auto"/>
        <w:jc w:val="both"/>
        <w:rPr>
          <w:rFonts w:ascii="Arial" w:eastAsia="Aptos" w:hAnsi="Arial" w:cs="Arial"/>
          <w:sz w:val="22"/>
          <w:szCs w:val="22"/>
        </w:rPr>
      </w:pPr>
      <w:r w:rsidRPr="00C25035">
        <w:rPr>
          <w:rFonts w:ascii="Arial" w:eastAsia="Aptos" w:hAnsi="Arial" w:cs="Arial"/>
          <w:sz w:val="22"/>
          <w:szCs w:val="22"/>
        </w:rPr>
        <w:t>Welcome to INSIGHT 2026. May this conference be an inspiring, productive, and memorable experience for us all.</w:t>
      </w:r>
    </w:p>
    <w:p w14:paraId="54270A2C" w14:textId="77777777" w:rsidR="00A95F91" w:rsidRPr="00C25035" w:rsidRDefault="00A95F91" w:rsidP="00A95F91">
      <w:pPr>
        <w:spacing w:line="276" w:lineRule="auto"/>
        <w:jc w:val="both"/>
        <w:rPr>
          <w:rFonts w:ascii="Arial" w:eastAsia="Aptos" w:hAnsi="Arial" w:cs="Arial"/>
          <w:b/>
          <w:bCs/>
          <w:sz w:val="22"/>
          <w:szCs w:val="22"/>
        </w:rPr>
      </w:pPr>
    </w:p>
    <w:p w14:paraId="78BE11F2" w14:textId="77777777" w:rsidR="00A95F91" w:rsidRPr="00C25035" w:rsidRDefault="00A95F91" w:rsidP="00A95F91">
      <w:pPr>
        <w:spacing w:after="0" w:line="240" w:lineRule="auto"/>
        <w:jc w:val="both"/>
        <w:rPr>
          <w:rFonts w:ascii="Arial" w:eastAsia="Aptos" w:hAnsi="Arial" w:cs="Arial"/>
          <w:sz w:val="22"/>
          <w:szCs w:val="22"/>
        </w:rPr>
      </w:pPr>
      <w:r w:rsidRPr="00C25035">
        <w:rPr>
          <w:rFonts w:ascii="Arial" w:eastAsia="Aptos" w:hAnsi="Arial" w:cs="Arial"/>
          <w:sz w:val="22"/>
          <w:szCs w:val="22"/>
        </w:rPr>
        <w:t>Warm Regards,</w:t>
      </w:r>
    </w:p>
    <w:p w14:paraId="2EC37A8F" w14:textId="77777777" w:rsidR="00A95F91" w:rsidRPr="00C25035" w:rsidRDefault="00A95F91" w:rsidP="00A95F91">
      <w:pPr>
        <w:spacing w:after="0" w:line="240" w:lineRule="auto"/>
        <w:jc w:val="both"/>
        <w:rPr>
          <w:rFonts w:ascii="Arial" w:eastAsia="Aptos" w:hAnsi="Arial" w:cs="Arial"/>
          <w:sz w:val="22"/>
          <w:szCs w:val="22"/>
        </w:rPr>
      </w:pPr>
    </w:p>
    <w:p w14:paraId="1C418D5A" w14:textId="77777777" w:rsidR="00A95F91" w:rsidRPr="00C25035" w:rsidRDefault="00A95F91" w:rsidP="00A95F91">
      <w:pPr>
        <w:spacing w:after="0" w:line="240" w:lineRule="auto"/>
        <w:jc w:val="both"/>
        <w:rPr>
          <w:rFonts w:ascii="Arial" w:eastAsia="Aptos" w:hAnsi="Arial" w:cs="Arial"/>
          <w:sz w:val="22"/>
          <w:szCs w:val="22"/>
        </w:rPr>
      </w:pPr>
      <w:r w:rsidRPr="00C25035">
        <w:rPr>
          <w:rFonts w:ascii="Arial" w:eastAsia="Aptos" w:hAnsi="Arial" w:cs="Arial"/>
          <w:sz w:val="22"/>
          <w:szCs w:val="22"/>
        </w:rPr>
        <w:t>Prof. Rindang Widuri, PhD</w:t>
      </w:r>
    </w:p>
    <w:p w14:paraId="19D88187" w14:textId="77777777" w:rsidR="00A95F91" w:rsidRPr="00C25035" w:rsidRDefault="00A95F91" w:rsidP="00A95F91">
      <w:pPr>
        <w:spacing w:after="0" w:line="240" w:lineRule="auto"/>
        <w:jc w:val="both"/>
        <w:rPr>
          <w:rFonts w:ascii="Arial" w:eastAsia="Aptos" w:hAnsi="Arial" w:cs="Arial"/>
          <w:sz w:val="22"/>
          <w:szCs w:val="22"/>
        </w:rPr>
      </w:pPr>
      <w:r w:rsidRPr="00C25035">
        <w:rPr>
          <w:rFonts w:ascii="Arial" w:eastAsia="Aptos" w:hAnsi="Arial" w:cs="Arial"/>
          <w:sz w:val="22"/>
          <w:szCs w:val="22"/>
        </w:rPr>
        <w:t>Dean of School of Accounting</w:t>
      </w:r>
    </w:p>
    <w:p w14:paraId="21EDC4A1" w14:textId="77777777" w:rsidR="00A95F91" w:rsidRPr="00C25035" w:rsidRDefault="00A95F91" w:rsidP="00A95F91">
      <w:pPr>
        <w:spacing w:after="0" w:line="240" w:lineRule="auto"/>
        <w:jc w:val="both"/>
        <w:rPr>
          <w:rFonts w:ascii="Arial" w:eastAsia="Aptos" w:hAnsi="Arial" w:cs="Arial"/>
          <w:sz w:val="22"/>
          <w:szCs w:val="22"/>
        </w:rPr>
      </w:pPr>
      <w:r w:rsidRPr="00C25035">
        <w:rPr>
          <w:rFonts w:ascii="Arial" w:eastAsia="Aptos" w:hAnsi="Arial" w:cs="Arial"/>
          <w:sz w:val="22"/>
          <w:szCs w:val="22"/>
        </w:rPr>
        <w:t>Binus University</w:t>
      </w:r>
    </w:p>
    <w:p w14:paraId="44420271" w14:textId="77777777" w:rsidR="00C25035" w:rsidRDefault="00C25035" w:rsidP="00644298">
      <w:pPr>
        <w:jc w:val="center"/>
        <w:rPr>
          <w:b/>
          <w:bCs/>
        </w:rPr>
      </w:pPr>
    </w:p>
    <w:p w14:paraId="322674B1" w14:textId="77777777" w:rsidR="00C25035" w:rsidRDefault="00C25035" w:rsidP="00644298">
      <w:pPr>
        <w:jc w:val="center"/>
        <w:rPr>
          <w:b/>
          <w:bCs/>
        </w:rPr>
      </w:pPr>
    </w:p>
    <w:p w14:paraId="22EE3EF9" w14:textId="62659DCD" w:rsidR="00644298" w:rsidRDefault="00644298" w:rsidP="00F15FF0">
      <w:pPr>
        <w:rPr>
          <w:rFonts w:ascii="Arial" w:hAnsi="Arial" w:cs="Arial"/>
          <w:b/>
          <w:bCs/>
          <w:sz w:val="22"/>
          <w:szCs w:val="22"/>
        </w:rPr>
      </w:pPr>
      <w:r w:rsidRPr="00C25035">
        <w:rPr>
          <w:rFonts w:ascii="Arial" w:hAnsi="Arial" w:cs="Arial"/>
          <w:b/>
          <w:bCs/>
          <w:sz w:val="22"/>
          <w:szCs w:val="22"/>
        </w:rPr>
        <w:lastRenderedPageBreak/>
        <w:t>F</w:t>
      </w:r>
      <w:r w:rsidR="00F15FF0">
        <w:rPr>
          <w:rFonts w:ascii="Arial" w:hAnsi="Arial" w:cs="Arial"/>
          <w:b/>
          <w:bCs/>
          <w:sz w:val="22"/>
          <w:szCs w:val="22"/>
        </w:rPr>
        <w:t xml:space="preserve">OREWORD FROM THE GENERAL CHAIR </w:t>
      </w:r>
    </w:p>
    <w:p w14:paraId="428A8C7A" w14:textId="77777777" w:rsidR="00C25035" w:rsidRPr="00C25035" w:rsidRDefault="00C25035" w:rsidP="00644298">
      <w:pPr>
        <w:jc w:val="center"/>
        <w:rPr>
          <w:rFonts w:ascii="Arial" w:hAnsi="Arial" w:cs="Arial"/>
          <w:b/>
          <w:bCs/>
          <w:sz w:val="22"/>
          <w:szCs w:val="22"/>
        </w:rPr>
      </w:pPr>
    </w:p>
    <w:p w14:paraId="28F2A1B0" w14:textId="77777777" w:rsidR="00644298" w:rsidRPr="00C25035" w:rsidRDefault="00644298" w:rsidP="00644298">
      <w:pPr>
        <w:jc w:val="both"/>
        <w:rPr>
          <w:rFonts w:ascii="Arial" w:hAnsi="Arial" w:cs="Arial"/>
          <w:sz w:val="22"/>
          <w:szCs w:val="22"/>
        </w:rPr>
      </w:pPr>
      <w:r w:rsidRPr="00C25035">
        <w:rPr>
          <w:rFonts w:ascii="Arial" w:hAnsi="Arial" w:cs="Arial"/>
          <w:sz w:val="22"/>
          <w:szCs w:val="22"/>
        </w:rPr>
        <w:t>It is my great pleasure to welcome you to the 2026 International Conference on Information Systems and Intelligent Technologies (INSIGHT 2026), held on 19–20 August 2026 at Istanbul Gelisim University, Istanbul, Türkiye.</w:t>
      </w:r>
    </w:p>
    <w:p w14:paraId="7F319E7F" w14:textId="77777777" w:rsidR="00644298" w:rsidRPr="00C25035" w:rsidRDefault="00644298" w:rsidP="00644298">
      <w:pPr>
        <w:jc w:val="both"/>
        <w:rPr>
          <w:rFonts w:ascii="Arial" w:hAnsi="Arial" w:cs="Arial"/>
          <w:sz w:val="22"/>
          <w:szCs w:val="22"/>
        </w:rPr>
      </w:pPr>
      <w:r w:rsidRPr="00C25035">
        <w:rPr>
          <w:rFonts w:ascii="Arial" w:hAnsi="Arial" w:cs="Arial"/>
          <w:sz w:val="22"/>
          <w:szCs w:val="22"/>
        </w:rPr>
        <w:t>INSIGHT 2026 provides an international platform for researchers, academics, industry professionals, and students to share the latest research, innovative ideas, and practical applications in the fields of information systems and intelligent technologies. The conference encourages collaboration across disciplines to address current challenges and explore future opportunities in digital transformation and emerging technologies.</w:t>
      </w:r>
    </w:p>
    <w:p w14:paraId="2D9A6BDE" w14:textId="77777777" w:rsidR="00644298" w:rsidRPr="00C25035" w:rsidRDefault="00644298" w:rsidP="00644298">
      <w:pPr>
        <w:jc w:val="both"/>
        <w:rPr>
          <w:rFonts w:ascii="Arial" w:hAnsi="Arial" w:cs="Arial"/>
          <w:sz w:val="22"/>
          <w:szCs w:val="22"/>
        </w:rPr>
      </w:pPr>
      <w:r w:rsidRPr="00C25035">
        <w:rPr>
          <w:rFonts w:ascii="Arial" w:hAnsi="Arial" w:cs="Arial"/>
          <w:sz w:val="22"/>
          <w:szCs w:val="22"/>
        </w:rPr>
        <w:t>This year's program features high-quality research papers, keynote speeches by distinguished experts, and technical sessions covering a wide range of topics, including artificial intelligence, data science, cybersecurity, software engineering, the Internet of Things, and intelligent information systems. We hope these discussions will inspire new ideas, promote knowledge exchange, and strengthen international research collaboration.</w:t>
      </w:r>
    </w:p>
    <w:p w14:paraId="1828F5B3" w14:textId="77777777" w:rsidR="00644298" w:rsidRPr="00C25035" w:rsidRDefault="00644298" w:rsidP="00644298">
      <w:pPr>
        <w:jc w:val="both"/>
        <w:rPr>
          <w:rFonts w:ascii="Arial" w:hAnsi="Arial" w:cs="Arial"/>
          <w:sz w:val="22"/>
          <w:szCs w:val="22"/>
        </w:rPr>
      </w:pPr>
      <w:r w:rsidRPr="00C25035">
        <w:rPr>
          <w:rFonts w:ascii="Arial" w:hAnsi="Arial" w:cs="Arial"/>
          <w:sz w:val="22"/>
          <w:szCs w:val="22"/>
        </w:rPr>
        <w:t>On behalf of the Organizing Committee, I would like to express my sincere appreciation to all authors, reviewers, keynote speakers, session chairs, sponsors, and partner institutions for their valuable contributions and commitment to the success of INSIGHT 2026. Their dedication has made this conference possible.</w:t>
      </w:r>
    </w:p>
    <w:p w14:paraId="76668387" w14:textId="77777777" w:rsidR="00644298" w:rsidRPr="00C25035" w:rsidRDefault="00644298" w:rsidP="00644298">
      <w:pPr>
        <w:jc w:val="both"/>
        <w:rPr>
          <w:rFonts w:ascii="Arial" w:hAnsi="Arial" w:cs="Arial"/>
          <w:sz w:val="22"/>
          <w:szCs w:val="22"/>
        </w:rPr>
      </w:pPr>
      <w:r w:rsidRPr="00C25035">
        <w:rPr>
          <w:rFonts w:ascii="Arial" w:hAnsi="Arial" w:cs="Arial"/>
          <w:sz w:val="22"/>
          <w:szCs w:val="22"/>
        </w:rPr>
        <w:t>I also extend my gratitude to Istanbul Gelisim University for hosting this event and providing an excellent environment for academic exchange and collaboration.</w:t>
      </w:r>
    </w:p>
    <w:p w14:paraId="55D0D863" w14:textId="77777777" w:rsidR="00644298" w:rsidRPr="00C25035" w:rsidRDefault="00644298" w:rsidP="00644298">
      <w:pPr>
        <w:jc w:val="both"/>
        <w:rPr>
          <w:rFonts w:ascii="Arial" w:hAnsi="Arial" w:cs="Arial"/>
          <w:sz w:val="22"/>
          <w:szCs w:val="22"/>
        </w:rPr>
      </w:pPr>
      <w:r w:rsidRPr="00C25035">
        <w:rPr>
          <w:rFonts w:ascii="Arial" w:hAnsi="Arial" w:cs="Arial"/>
          <w:sz w:val="22"/>
          <w:szCs w:val="22"/>
        </w:rPr>
        <w:t>I wish all participants a productive and enjoyable conference, and I hope your experience at INSIGHT 2026 will lead to meaningful discussions, valuable networking opportunities, and future collaborations.</w:t>
      </w:r>
    </w:p>
    <w:p w14:paraId="480A4207" w14:textId="77777777" w:rsidR="00644298" w:rsidRPr="00C25035" w:rsidRDefault="00644298" w:rsidP="00644298">
      <w:pPr>
        <w:jc w:val="both"/>
        <w:rPr>
          <w:rFonts w:ascii="Arial" w:hAnsi="Arial" w:cs="Arial"/>
          <w:sz w:val="22"/>
          <w:szCs w:val="22"/>
        </w:rPr>
      </w:pPr>
      <w:r w:rsidRPr="00C25035">
        <w:rPr>
          <w:rFonts w:ascii="Arial" w:hAnsi="Arial" w:cs="Arial"/>
          <w:sz w:val="22"/>
          <w:szCs w:val="22"/>
        </w:rPr>
        <w:t>Thank you for your participation, and welcome to INSIGHT 2026.</w:t>
      </w:r>
    </w:p>
    <w:p w14:paraId="4C93EE3E" w14:textId="2BAD516F" w:rsidR="00644298" w:rsidRPr="00C25035" w:rsidRDefault="00644298" w:rsidP="008A7495">
      <w:pPr>
        <w:rPr>
          <w:rFonts w:ascii="Arial" w:hAnsi="Arial" w:cs="Arial"/>
          <w:sz w:val="22"/>
          <w:szCs w:val="22"/>
        </w:rPr>
      </w:pPr>
      <w:r w:rsidRPr="00C25035">
        <w:rPr>
          <w:rFonts w:ascii="Arial" w:hAnsi="Arial" w:cs="Arial"/>
          <w:sz w:val="22"/>
          <w:szCs w:val="22"/>
        </w:rPr>
        <w:t>Prof. Deden W. Jacob</w:t>
      </w:r>
      <w:r w:rsidRPr="00C25035">
        <w:rPr>
          <w:rFonts w:ascii="Arial" w:hAnsi="Arial" w:cs="Arial"/>
          <w:sz w:val="22"/>
          <w:szCs w:val="22"/>
        </w:rPr>
        <w:br/>
        <w:t>General Chair</w:t>
      </w:r>
      <w:r w:rsidRPr="00C25035">
        <w:rPr>
          <w:rFonts w:ascii="Arial" w:hAnsi="Arial" w:cs="Arial"/>
          <w:sz w:val="22"/>
          <w:szCs w:val="22"/>
        </w:rPr>
        <w:br/>
        <w:t xml:space="preserve">2026 International Conference on Information Systems and Intelligent Technologies </w:t>
      </w:r>
    </w:p>
    <w:p w14:paraId="1D9EB00D" w14:textId="77777777" w:rsidR="00995DB6" w:rsidRPr="00C25035" w:rsidRDefault="00995DB6" w:rsidP="00644298">
      <w:pPr>
        <w:jc w:val="both"/>
        <w:rPr>
          <w:rFonts w:ascii="Arial" w:hAnsi="Arial" w:cs="Arial"/>
          <w:sz w:val="22"/>
          <w:szCs w:val="22"/>
        </w:rPr>
      </w:pPr>
    </w:p>
    <w:p w14:paraId="62665832" w14:textId="21D0A24B" w:rsidR="00C66B8D" w:rsidRPr="00C25035" w:rsidRDefault="00B32331" w:rsidP="00B32331">
      <w:pPr>
        <w:rPr>
          <w:sz w:val="22"/>
          <w:szCs w:val="22"/>
        </w:rPr>
      </w:pPr>
      <w:r w:rsidRPr="00C25035">
        <w:rPr>
          <w:sz w:val="22"/>
          <w:szCs w:val="22"/>
        </w:rPr>
        <w:br w:type="page"/>
      </w:r>
    </w:p>
    <w:p w14:paraId="440C72FF" w14:textId="241D3BF8" w:rsidR="00C66B8D" w:rsidRPr="00AE1338" w:rsidRDefault="00C66B8D" w:rsidP="00A51969">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hAnsi="Arial" w:cs="Arial"/>
          <w:b/>
          <w:bCs/>
          <w:sz w:val="20"/>
          <w:szCs w:val="20"/>
          <w:lang w:val="en-US"/>
        </w:rPr>
      </w:pPr>
      <w:r w:rsidRPr="00AE1338">
        <w:rPr>
          <w:rFonts w:ascii="Arial" w:hAnsi="Arial" w:cs="Arial"/>
          <w:b/>
          <w:bCs/>
          <w:sz w:val="20"/>
          <w:szCs w:val="20"/>
          <w:lang w:val="en-US"/>
        </w:rPr>
        <w:lastRenderedPageBreak/>
        <w:t>KEYNOTE SPEAKERS</w:t>
      </w:r>
    </w:p>
    <w:p w14:paraId="4E794FD3" w14:textId="77777777" w:rsidR="00C66B8D" w:rsidRPr="00AE1338" w:rsidRDefault="00C66B8D" w:rsidP="00A51969">
      <w:pPr>
        <w:spacing w:after="0" w:line="240" w:lineRule="auto"/>
        <w:rPr>
          <w:rFonts w:ascii="Arial" w:hAnsi="Arial" w:cs="Arial"/>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75434E" w:rsidRPr="00AE1338" w14:paraId="250E696B" w14:textId="77777777" w:rsidTr="00277C57">
        <w:tc>
          <w:tcPr>
            <w:tcW w:w="4868" w:type="dxa"/>
          </w:tcPr>
          <w:p w14:paraId="0622EECF" w14:textId="50D69053" w:rsidR="0075434E" w:rsidRDefault="00E96ED1" w:rsidP="00A51969">
            <w:pPr>
              <w:jc w:val="center"/>
              <w:rPr>
                <w:rFonts w:ascii="Arial" w:hAnsi="Arial" w:cs="Arial"/>
                <w:sz w:val="20"/>
                <w:szCs w:val="20"/>
              </w:rPr>
            </w:pPr>
            <w:r w:rsidRPr="00E96ED1">
              <w:rPr>
                <w:rFonts w:ascii="Arial" w:hAnsi="Arial" w:cs="Arial"/>
                <w:b/>
                <w:bCs/>
                <w:sz w:val="20"/>
                <w:szCs w:val="20"/>
                <w:lang w:val="sv-SE"/>
              </w:rPr>
              <w:t>PROF. MADYA Dr. MUHAINI BINTI OTHMAN</w:t>
            </w:r>
            <w:r w:rsidR="0075434E" w:rsidRPr="0075434E">
              <w:rPr>
                <w:rFonts w:ascii="Arial" w:hAnsi="Arial" w:cs="Arial"/>
                <w:sz w:val="20"/>
                <w:szCs w:val="20"/>
              </w:rPr>
              <w:t>, Faculty of Computer Science &amp; Information Technology, Universiti Tun Hussein Onn Malaysia</w:t>
            </w:r>
          </w:p>
          <w:p w14:paraId="77014AD1" w14:textId="0A12219B" w:rsidR="00482C2D" w:rsidRPr="0075434E" w:rsidRDefault="00482C2D" w:rsidP="00A51969">
            <w:pPr>
              <w:jc w:val="center"/>
              <w:rPr>
                <w:rFonts w:ascii="Arial" w:hAnsi="Arial" w:cs="Arial"/>
                <w:sz w:val="20"/>
                <w:szCs w:val="20"/>
                <w:lang w:val="en-US"/>
              </w:rPr>
            </w:pPr>
          </w:p>
        </w:tc>
        <w:tc>
          <w:tcPr>
            <w:tcW w:w="4868" w:type="dxa"/>
          </w:tcPr>
          <w:p w14:paraId="343A1172" w14:textId="77777777" w:rsidR="0075434E" w:rsidRPr="0075434E" w:rsidRDefault="0075434E" w:rsidP="00A51969">
            <w:pPr>
              <w:jc w:val="center"/>
              <w:rPr>
                <w:rFonts w:ascii="Arial" w:hAnsi="Arial" w:cs="Arial"/>
                <w:b/>
                <w:bCs/>
                <w:sz w:val="20"/>
                <w:szCs w:val="20"/>
              </w:rPr>
            </w:pPr>
            <w:r w:rsidRPr="0075434E">
              <w:rPr>
                <w:rFonts w:ascii="Arial" w:hAnsi="Arial" w:cs="Arial"/>
                <w:b/>
                <w:bCs/>
                <w:sz w:val="20"/>
                <w:szCs w:val="20"/>
              </w:rPr>
              <w:t>Dr. Esra ERGÜN</w:t>
            </w:r>
          </w:p>
          <w:p w14:paraId="07A02093" w14:textId="07ED4343" w:rsidR="0075434E" w:rsidRPr="00AE1338" w:rsidRDefault="0075434E" w:rsidP="00A51969">
            <w:pPr>
              <w:jc w:val="center"/>
              <w:rPr>
                <w:rFonts w:ascii="Arial" w:hAnsi="Arial" w:cs="Arial"/>
                <w:sz w:val="20"/>
                <w:szCs w:val="20"/>
                <w:lang w:val="en-US"/>
              </w:rPr>
            </w:pPr>
            <w:r w:rsidRPr="0075434E">
              <w:rPr>
                <w:rFonts w:ascii="Arial" w:hAnsi="Arial" w:cs="Arial"/>
                <w:sz w:val="20"/>
                <w:szCs w:val="20"/>
              </w:rPr>
              <w:t xml:space="preserve">Microsoft, </w:t>
            </w:r>
            <w:proofErr w:type="gramStart"/>
            <w:r w:rsidRPr="0075434E">
              <w:rPr>
                <w:rFonts w:ascii="Arial" w:hAnsi="Arial" w:cs="Arial"/>
                <w:sz w:val="20"/>
                <w:szCs w:val="20"/>
              </w:rPr>
              <w:t>Principle</w:t>
            </w:r>
            <w:proofErr w:type="gramEnd"/>
            <w:r w:rsidRPr="0075434E">
              <w:rPr>
                <w:rFonts w:ascii="Arial" w:hAnsi="Arial" w:cs="Arial"/>
                <w:sz w:val="20"/>
                <w:szCs w:val="20"/>
              </w:rPr>
              <w:t xml:space="preserve"> Customer Success Account Manager, Turkiye</w:t>
            </w:r>
          </w:p>
        </w:tc>
      </w:tr>
      <w:tr w:rsidR="0075434E" w:rsidRPr="00AE1338" w14:paraId="5B81D393" w14:textId="77777777" w:rsidTr="00277C57">
        <w:tc>
          <w:tcPr>
            <w:tcW w:w="4868" w:type="dxa"/>
          </w:tcPr>
          <w:p w14:paraId="00FE8438" w14:textId="77777777" w:rsidR="0075434E" w:rsidRDefault="0075434E" w:rsidP="00A51969">
            <w:pPr>
              <w:jc w:val="center"/>
              <w:rPr>
                <w:rFonts w:ascii="Arial" w:hAnsi="Arial" w:cs="Arial"/>
                <w:b/>
                <w:bCs/>
                <w:sz w:val="20"/>
                <w:szCs w:val="20"/>
              </w:rPr>
            </w:pPr>
            <w:r w:rsidRPr="0075434E">
              <w:rPr>
                <w:rFonts w:ascii="Arial" w:hAnsi="Arial" w:cs="Arial"/>
                <w:b/>
                <w:bCs/>
                <w:sz w:val="20"/>
                <w:szCs w:val="20"/>
              </w:rPr>
              <w:t>Asst. Professor Gideon Mekonnen Jonathan</w:t>
            </w:r>
          </w:p>
          <w:p w14:paraId="1B6BD28F" w14:textId="34808E4B" w:rsidR="0075434E" w:rsidRPr="0075434E" w:rsidRDefault="0075434E" w:rsidP="00A51969">
            <w:pPr>
              <w:jc w:val="center"/>
              <w:rPr>
                <w:rFonts w:ascii="Arial" w:hAnsi="Arial" w:cs="Arial"/>
                <w:sz w:val="20"/>
                <w:szCs w:val="20"/>
                <w:lang w:val="en-US"/>
              </w:rPr>
            </w:pPr>
            <w:r w:rsidRPr="0075434E">
              <w:rPr>
                <w:rFonts w:ascii="Arial" w:hAnsi="Arial" w:cs="Arial"/>
                <w:sz w:val="20"/>
                <w:szCs w:val="20"/>
              </w:rPr>
              <w:t xml:space="preserve">Department of Computer and Systems Sciences (DSV), Stockholm </w:t>
            </w:r>
            <w:r w:rsidR="00543987" w:rsidRPr="0075434E">
              <w:rPr>
                <w:rFonts w:ascii="Arial" w:hAnsi="Arial" w:cs="Arial"/>
                <w:sz w:val="20"/>
                <w:szCs w:val="20"/>
              </w:rPr>
              <w:t>University,</w:t>
            </w:r>
            <w:r w:rsidRPr="0075434E">
              <w:rPr>
                <w:rFonts w:ascii="Arial" w:hAnsi="Arial" w:cs="Arial"/>
                <w:sz w:val="20"/>
                <w:szCs w:val="20"/>
              </w:rPr>
              <w:t xml:space="preserve"> Sweden</w:t>
            </w:r>
          </w:p>
        </w:tc>
        <w:tc>
          <w:tcPr>
            <w:tcW w:w="4868" w:type="dxa"/>
          </w:tcPr>
          <w:p w14:paraId="450762CB" w14:textId="77777777" w:rsidR="00277C57" w:rsidRPr="00277C57" w:rsidRDefault="00277C57" w:rsidP="00A51969">
            <w:pPr>
              <w:jc w:val="center"/>
              <w:rPr>
                <w:rFonts w:ascii="Arial" w:hAnsi="Arial" w:cs="Arial"/>
                <w:b/>
                <w:bCs/>
                <w:sz w:val="20"/>
                <w:szCs w:val="20"/>
              </w:rPr>
            </w:pPr>
            <w:r w:rsidRPr="00277C57">
              <w:rPr>
                <w:rFonts w:ascii="Arial" w:hAnsi="Arial" w:cs="Arial"/>
                <w:b/>
                <w:bCs/>
                <w:sz w:val="20"/>
                <w:szCs w:val="20"/>
              </w:rPr>
              <w:t>Dr Zubaile bin Abdullah</w:t>
            </w:r>
          </w:p>
          <w:p w14:paraId="127988CD" w14:textId="4765F11E" w:rsidR="00482C2D" w:rsidRPr="0075434E" w:rsidRDefault="00277C57" w:rsidP="00A51969">
            <w:pPr>
              <w:jc w:val="center"/>
              <w:rPr>
                <w:rFonts w:ascii="Arial" w:hAnsi="Arial" w:cs="Arial"/>
                <w:sz w:val="20"/>
                <w:szCs w:val="20"/>
              </w:rPr>
            </w:pPr>
            <w:r w:rsidRPr="00277C57">
              <w:rPr>
                <w:rFonts w:ascii="Arial" w:hAnsi="Arial" w:cs="Arial"/>
                <w:sz w:val="20"/>
                <w:szCs w:val="20"/>
              </w:rPr>
              <w:t>Researcher, Centre for Cybersecurity and Data Intelligence (CCDI), Faculty of Computer Science &amp; Information Technology, Universiti Tun Hussein Onn Malaysia</w:t>
            </w:r>
          </w:p>
        </w:tc>
      </w:tr>
    </w:tbl>
    <w:p w14:paraId="5A064F0D" w14:textId="77777777" w:rsidR="006315AF" w:rsidRDefault="006315AF" w:rsidP="00A51969">
      <w:pPr>
        <w:spacing w:after="0" w:line="240" w:lineRule="auto"/>
        <w:jc w:val="center"/>
        <w:rPr>
          <w:rFonts w:ascii="Arial" w:hAnsi="Arial" w:cs="Arial"/>
          <w:b/>
          <w:bCs/>
          <w:sz w:val="20"/>
          <w:szCs w:val="20"/>
          <w:lang w:val="en-US"/>
        </w:rPr>
      </w:pPr>
    </w:p>
    <w:p w14:paraId="1CCC9E27" w14:textId="0D563ED9" w:rsidR="0009073A" w:rsidRPr="00AE1338" w:rsidRDefault="0009073A" w:rsidP="00A51969">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hAnsi="Arial" w:cs="Arial"/>
          <w:b/>
          <w:bCs/>
          <w:sz w:val="20"/>
          <w:szCs w:val="20"/>
          <w:lang w:val="en-US"/>
        </w:rPr>
      </w:pPr>
      <w:r>
        <w:rPr>
          <w:rFonts w:ascii="Arial" w:hAnsi="Arial" w:cs="Arial"/>
          <w:b/>
          <w:bCs/>
          <w:sz w:val="20"/>
          <w:szCs w:val="20"/>
          <w:lang w:val="en-US"/>
        </w:rPr>
        <w:t xml:space="preserve">SPRINGER </w:t>
      </w:r>
      <w:r w:rsidR="00EE4078">
        <w:rPr>
          <w:rFonts w:ascii="Arial" w:hAnsi="Arial" w:cs="Arial"/>
          <w:b/>
          <w:bCs/>
          <w:sz w:val="20"/>
          <w:szCs w:val="20"/>
          <w:lang w:val="en-US"/>
        </w:rPr>
        <w:t xml:space="preserve">PUBLICATION </w:t>
      </w:r>
      <w:r>
        <w:rPr>
          <w:rFonts w:ascii="Arial" w:hAnsi="Arial" w:cs="Arial"/>
          <w:b/>
          <w:bCs/>
          <w:sz w:val="20"/>
          <w:szCs w:val="20"/>
          <w:lang w:val="en-US"/>
        </w:rPr>
        <w:t>ROADMAP</w:t>
      </w:r>
    </w:p>
    <w:p w14:paraId="2D0E7352" w14:textId="77777777" w:rsidR="0009073A" w:rsidRDefault="0009073A" w:rsidP="00A51969">
      <w:pPr>
        <w:spacing w:after="0" w:line="240" w:lineRule="auto"/>
        <w:jc w:val="center"/>
        <w:rPr>
          <w:rFonts w:ascii="Arial" w:hAnsi="Arial" w:cs="Arial"/>
          <w:b/>
          <w:bCs/>
          <w:sz w:val="20"/>
          <w:szCs w:val="20"/>
          <w:lang w:val="en-US"/>
        </w:rPr>
      </w:pPr>
    </w:p>
    <w:p w14:paraId="03CC95CA" w14:textId="4441B10A" w:rsidR="0009073A" w:rsidRDefault="0009073A" w:rsidP="00A51969">
      <w:pPr>
        <w:spacing w:after="0" w:line="240" w:lineRule="auto"/>
        <w:jc w:val="center"/>
        <w:rPr>
          <w:rFonts w:ascii="Arial" w:hAnsi="Arial" w:cs="Arial"/>
          <w:b/>
          <w:bCs/>
          <w:sz w:val="20"/>
          <w:szCs w:val="20"/>
          <w:lang w:val="en-US"/>
        </w:rPr>
      </w:pPr>
      <w:r>
        <w:rPr>
          <w:rFonts w:ascii="Arial" w:hAnsi="Arial" w:cs="Arial"/>
          <w:b/>
          <w:bCs/>
          <w:noProof/>
          <w:sz w:val="20"/>
          <w:szCs w:val="20"/>
          <w:lang w:val="en-US"/>
        </w:rPr>
        <w:drawing>
          <wp:inline distT="0" distB="0" distL="0" distR="0" wp14:anchorId="2731AAF8" wp14:editId="6D869329">
            <wp:extent cx="6188710" cy="3449955"/>
            <wp:effectExtent l="0" t="0" r="0" b="4445"/>
            <wp:docPr id="1163881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81547" name="Picture 11638815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8710" cy="3449955"/>
                    </a:xfrm>
                    <a:prstGeom prst="rect">
                      <a:avLst/>
                    </a:prstGeom>
                  </pic:spPr>
                </pic:pic>
              </a:graphicData>
            </a:graphic>
          </wp:inline>
        </w:drawing>
      </w:r>
    </w:p>
    <w:p w14:paraId="606BA603" w14:textId="77777777" w:rsidR="0009073A" w:rsidRPr="00AE1338" w:rsidRDefault="0009073A" w:rsidP="00A51969">
      <w:pPr>
        <w:spacing w:after="0" w:line="240" w:lineRule="auto"/>
        <w:jc w:val="center"/>
        <w:rPr>
          <w:rFonts w:ascii="Arial" w:hAnsi="Arial" w:cs="Arial"/>
          <w:b/>
          <w:bCs/>
          <w:sz w:val="20"/>
          <w:szCs w:val="20"/>
          <w:lang w:val="en-US"/>
        </w:rPr>
      </w:pPr>
    </w:p>
    <w:p w14:paraId="5BFA48C1" w14:textId="77777777" w:rsidR="00886833" w:rsidRDefault="00886833" w:rsidP="00A51969">
      <w:pPr>
        <w:spacing w:after="0" w:line="240" w:lineRule="auto"/>
        <w:rPr>
          <w:rFonts w:ascii="Arial" w:hAnsi="Arial" w:cs="Arial"/>
          <w:b/>
          <w:bCs/>
          <w:sz w:val="20"/>
          <w:szCs w:val="20"/>
          <w:lang w:val="en-US"/>
        </w:rPr>
      </w:pPr>
      <w:r>
        <w:rPr>
          <w:rFonts w:ascii="Arial" w:hAnsi="Arial" w:cs="Arial"/>
          <w:b/>
          <w:bCs/>
          <w:sz w:val="20"/>
          <w:szCs w:val="20"/>
          <w:lang w:val="en-US"/>
        </w:rPr>
        <w:br w:type="page"/>
      </w:r>
    </w:p>
    <w:p w14:paraId="11B66C23" w14:textId="49B5BC01" w:rsidR="004D4907" w:rsidRPr="00AE1338" w:rsidRDefault="004D4907" w:rsidP="00A51969">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hAnsi="Arial" w:cs="Arial"/>
          <w:b/>
          <w:bCs/>
          <w:sz w:val="20"/>
          <w:szCs w:val="20"/>
          <w:lang w:val="en-US"/>
        </w:rPr>
      </w:pPr>
      <w:r w:rsidRPr="00AE1338">
        <w:rPr>
          <w:rFonts w:ascii="Arial" w:hAnsi="Arial" w:cs="Arial"/>
          <w:b/>
          <w:bCs/>
          <w:sz w:val="20"/>
          <w:szCs w:val="20"/>
          <w:lang w:val="en-US"/>
        </w:rPr>
        <w:lastRenderedPageBreak/>
        <w:t>RUNDOWN</w:t>
      </w:r>
    </w:p>
    <w:p w14:paraId="5816AC15" w14:textId="77777777" w:rsidR="004D4907" w:rsidRPr="00AE1338" w:rsidRDefault="004D4907" w:rsidP="00A51969">
      <w:pPr>
        <w:spacing w:after="0" w:line="240" w:lineRule="auto"/>
        <w:jc w:val="center"/>
        <w:rPr>
          <w:rFonts w:ascii="Arial" w:hAnsi="Arial" w:cs="Arial"/>
          <w:b/>
          <w:bCs/>
          <w:sz w:val="20"/>
          <w:szCs w:val="2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3244"/>
        <w:gridCol w:w="3248"/>
      </w:tblGrid>
      <w:tr w:rsidR="00655202" w:rsidRPr="00AE1338" w14:paraId="6D8A1E4F" w14:textId="77777777" w:rsidTr="00655202">
        <w:trPr>
          <w:jc w:val="center"/>
        </w:trPr>
        <w:tc>
          <w:tcPr>
            <w:tcW w:w="5000" w:type="pct"/>
            <w:gridSpan w:val="3"/>
            <w:vAlign w:val="center"/>
          </w:tcPr>
          <w:p w14:paraId="0397B1BC" w14:textId="63C4BAC1" w:rsidR="00655202" w:rsidRPr="00AE1338" w:rsidRDefault="00BE2951"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19</w:t>
            </w:r>
            <w:r w:rsidR="00655202" w:rsidRPr="00AE1338">
              <w:rPr>
                <w:rFonts w:ascii="Arial" w:hAnsi="Arial" w:cs="Arial"/>
                <w:b/>
                <w:bCs/>
                <w:sz w:val="20"/>
                <w:szCs w:val="20"/>
                <w:vertAlign w:val="superscript"/>
                <w:lang w:val="en-US"/>
              </w:rPr>
              <w:t>th</w:t>
            </w:r>
            <w:r w:rsidR="00655202" w:rsidRPr="00AE1338">
              <w:rPr>
                <w:rFonts w:ascii="Arial" w:hAnsi="Arial" w:cs="Arial"/>
                <w:b/>
                <w:bCs/>
                <w:sz w:val="20"/>
                <w:szCs w:val="20"/>
                <w:lang w:val="en-US"/>
              </w:rPr>
              <w:t xml:space="preserve"> August 202</w:t>
            </w:r>
            <w:r>
              <w:rPr>
                <w:rFonts w:ascii="Arial" w:hAnsi="Arial" w:cs="Arial"/>
                <w:b/>
                <w:bCs/>
                <w:sz w:val="20"/>
                <w:szCs w:val="20"/>
                <w:lang w:val="en-US"/>
              </w:rPr>
              <w:t>6</w:t>
            </w:r>
          </w:p>
        </w:tc>
      </w:tr>
      <w:tr w:rsidR="00655202" w:rsidRPr="00AE1338" w14:paraId="49167A7F" w14:textId="77777777" w:rsidTr="006E7C56">
        <w:trPr>
          <w:jc w:val="center"/>
        </w:trPr>
        <w:tc>
          <w:tcPr>
            <w:tcW w:w="1666" w:type="pct"/>
            <w:vAlign w:val="center"/>
          </w:tcPr>
          <w:p w14:paraId="77C1A4D0" w14:textId="3BEA1331" w:rsidR="00655202" w:rsidRPr="00AE1338" w:rsidRDefault="00655202"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 xml:space="preserve">Time </w:t>
            </w:r>
            <w:r w:rsidR="00DC1D29">
              <w:rPr>
                <w:rFonts w:ascii="Arial" w:hAnsi="Arial" w:cs="Arial"/>
                <w:b/>
                <w:bCs/>
                <w:sz w:val="20"/>
                <w:szCs w:val="20"/>
                <w:lang w:val="en-US"/>
              </w:rPr>
              <w:t>(</w:t>
            </w:r>
            <w:r w:rsidR="00E549C6">
              <w:rPr>
                <w:rFonts w:ascii="Arial" w:hAnsi="Arial" w:cs="Arial"/>
                <w:b/>
                <w:bCs/>
                <w:sz w:val="20"/>
                <w:szCs w:val="20"/>
                <w:lang w:val="en-US"/>
              </w:rPr>
              <w:t>Istanbul Turkiye</w:t>
            </w:r>
            <w:r w:rsidR="00DC1D29">
              <w:rPr>
                <w:rFonts w:ascii="Arial" w:hAnsi="Arial" w:cs="Arial"/>
                <w:b/>
                <w:bCs/>
                <w:sz w:val="20"/>
                <w:szCs w:val="20"/>
                <w:lang w:val="en-US"/>
              </w:rPr>
              <w:t>)</w:t>
            </w:r>
          </w:p>
        </w:tc>
        <w:tc>
          <w:tcPr>
            <w:tcW w:w="1666" w:type="pct"/>
            <w:vAlign w:val="center"/>
          </w:tcPr>
          <w:p w14:paraId="5ADCBDE4" w14:textId="77777777" w:rsidR="00655202" w:rsidRPr="00AE1338" w:rsidRDefault="00655202"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Activity</w:t>
            </w:r>
          </w:p>
        </w:tc>
        <w:tc>
          <w:tcPr>
            <w:tcW w:w="1668" w:type="pct"/>
            <w:vAlign w:val="center"/>
          </w:tcPr>
          <w:p w14:paraId="616DB71B" w14:textId="77777777" w:rsidR="00655202" w:rsidRPr="00AE1338" w:rsidRDefault="00655202"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Venue</w:t>
            </w:r>
          </w:p>
        </w:tc>
      </w:tr>
      <w:tr w:rsidR="00655202" w:rsidRPr="00AE1338" w14:paraId="1F768ED1" w14:textId="77777777" w:rsidTr="006E7C56">
        <w:trPr>
          <w:jc w:val="center"/>
        </w:trPr>
        <w:tc>
          <w:tcPr>
            <w:tcW w:w="1666" w:type="pct"/>
            <w:vAlign w:val="center"/>
          </w:tcPr>
          <w:p w14:paraId="4CA9C4ED" w14:textId="7498AA7E" w:rsidR="00655202" w:rsidRPr="00AE1338" w:rsidRDefault="003D3AC6"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09:00 – 12:00</w:t>
            </w:r>
          </w:p>
        </w:tc>
        <w:tc>
          <w:tcPr>
            <w:tcW w:w="1666" w:type="pct"/>
            <w:vAlign w:val="center"/>
          </w:tcPr>
          <w:p w14:paraId="1078B75E" w14:textId="2C1BAA28" w:rsidR="00EE4074" w:rsidRDefault="00EE4074"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Opening &amp;</w:t>
            </w:r>
          </w:p>
          <w:p w14:paraId="0387EAA1" w14:textId="67C1CA3F" w:rsidR="008E2D9F" w:rsidRDefault="003D3AC6"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Keynote Speaker Session</w:t>
            </w:r>
          </w:p>
          <w:p w14:paraId="10571F4D" w14:textId="4AB338B8" w:rsidR="00EE5E08" w:rsidRDefault="00EE5E08"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Moderator:</w:t>
            </w:r>
          </w:p>
          <w:p w14:paraId="29A28711" w14:textId="1085BBBE" w:rsidR="00EE5E08" w:rsidRDefault="00AC3D61" w:rsidP="004F73D3">
            <w:pPr>
              <w:pStyle w:val="ListParagraph"/>
              <w:numPr>
                <w:ilvl w:val="0"/>
                <w:numId w:val="6"/>
              </w:numPr>
              <w:spacing w:after="0" w:line="240" w:lineRule="auto"/>
              <w:rPr>
                <w:rFonts w:ascii="Arial" w:hAnsi="Arial" w:cs="Arial"/>
                <w:b/>
                <w:bCs/>
                <w:sz w:val="20"/>
                <w:szCs w:val="20"/>
                <w:lang w:val="en-US"/>
              </w:rPr>
            </w:pPr>
            <w:r w:rsidRPr="00AC3D61">
              <w:rPr>
                <w:rFonts w:ascii="Arial" w:hAnsi="Arial" w:cs="Arial"/>
                <w:b/>
                <w:bCs/>
                <w:sz w:val="20"/>
                <w:szCs w:val="20"/>
                <w:lang w:val="en-US"/>
              </w:rPr>
              <w:t>Prof. Anton Abdulbasah KAMIL</w:t>
            </w:r>
          </w:p>
          <w:p w14:paraId="27F49456" w14:textId="65A32000" w:rsidR="00A5195C" w:rsidRPr="00183428" w:rsidRDefault="004F73D3" w:rsidP="00183428">
            <w:pPr>
              <w:pStyle w:val="ListParagraph"/>
              <w:numPr>
                <w:ilvl w:val="0"/>
                <w:numId w:val="6"/>
              </w:numPr>
              <w:spacing w:after="0" w:line="240" w:lineRule="auto"/>
              <w:rPr>
                <w:rFonts w:ascii="Arial" w:hAnsi="Arial" w:cs="Arial"/>
                <w:b/>
                <w:bCs/>
                <w:sz w:val="20"/>
                <w:szCs w:val="20"/>
                <w:lang w:val="en-US"/>
              </w:rPr>
            </w:pPr>
            <w:r w:rsidRPr="004F73D3">
              <w:rPr>
                <w:rFonts w:ascii="Arial" w:hAnsi="Arial" w:cs="Arial"/>
                <w:b/>
                <w:bCs/>
                <w:sz w:val="20"/>
                <w:szCs w:val="20"/>
                <w:lang w:val="en-US"/>
              </w:rPr>
              <w:t xml:space="preserve">Professor </w:t>
            </w:r>
            <w:r w:rsidRPr="004F73D3">
              <w:rPr>
                <w:rFonts w:ascii="Segoe UI Symbol" w:hAnsi="Segoe UI Symbol" w:cs="Segoe UI Symbol"/>
                <w:b/>
                <w:bCs/>
                <w:sz w:val="20"/>
                <w:szCs w:val="20"/>
                <w:lang w:val="en-US"/>
              </w:rPr>
              <w:t>⁠</w:t>
            </w:r>
            <w:r w:rsidRPr="004F73D3">
              <w:rPr>
                <w:rFonts w:ascii="Arial" w:hAnsi="Arial" w:cs="Arial"/>
                <w:b/>
                <w:bCs/>
                <w:sz w:val="20"/>
                <w:szCs w:val="20"/>
                <w:lang w:val="en-US"/>
              </w:rPr>
              <w:t xml:space="preserve">Riswan Septriayadi Sianturi, S.Si., M.M., M.Sc., </w:t>
            </w:r>
            <w:proofErr w:type="gramStart"/>
            <w:r w:rsidRPr="004F73D3">
              <w:rPr>
                <w:rFonts w:ascii="Arial" w:hAnsi="Arial" w:cs="Arial"/>
                <w:b/>
                <w:bCs/>
                <w:sz w:val="20"/>
                <w:szCs w:val="20"/>
                <w:lang w:val="en-US"/>
              </w:rPr>
              <w:t>Ph.D</w:t>
            </w:r>
            <w:proofErr w:type="gramEnd"/>
          </w:p>
        </w:tc>
        <w:tc>
          <w:tcPr>
            <w:tcW w:w="1668" w:type="pct"/>
            <w:vAlign w:val="center"/>
          </w:tcPr>
          <w:p w14:paraId="6CEB71B8" w14:textId="72745167" w:rsidR="00C6415C" w:rsidRPr="00AE1338" w:rsidRDefault="00C6415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Hybrid </w:t>
            </w:r>
            <w:r w:rsidRPr="00C6415C">
              <w:rPr>
                <w:rFonts w:ascii="Arial" w:hAnsi="Arial" w:cs="Arial"/>
                <w:b/>
                <w:bCs/>
                <w:sz w:val="20"/>
                <w:szCs w:val="20"/>
                <w:lang w:val="en-US"/>
              </w:rPr>
              <w:t>(Conference Hall, Istanbul Gelisim University, Türkiye</w:t>
            </w:r>
            <w:r>
              <w:rPr>
                <w:rFonts w:ascii="Arial" w:hAnsi="Arial" w:cs="Arial"/>
                <w:b/>
                <w:bCs/>
                <w:sz w:val="20"/>
                <w:szCs w:val="20"/>
                <w:lang w:val="en-US"/>
              </w:rPr>
              <w:t xml:space="preserve"> &amp; Online)</w:t>
            </w:r>
          </w:p>
        </w:tc>
      </w:tr>
      <w:tr w:rsidR="00655202" w:rsidRPr="00AE1338" w14:paraId="070E663C" w14:textId="77777777" w:rsidTr="006E7C56">
        <w:trPr>
          <w:jc w:val="center"/>
        </w:trPr>
        <w:tc>
          <w:tcPr>
            <w:tcW w:w="1666" w:type="pct"/>
            <w:vAlign w:val="center"/>
          </w:tcPr>
          <w:p w14:paraId="40DC9DD4" w14:textId="4B6A8AE8" w:rsidR="00655202" w:rsidRPr="00AE1338" w:rsidRDefault="003D3AC6"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12:00 – 13:</w:t>
            </w:r>
            <w:r w:rsidR="00E55633">
              <w:rPr>
                <w:rFonts w:ascii="Arial" w:hAnsi="Arial" w:cs="Arial"/>
                <w:b/>
                <w:bCs/>
                <w:sz w:val="20"/>
                <w:szCs w:val="20"/>
                <w:lang w:val="en-US"/>
              </w:rPr>
              <w:t>3</w:t>
            </w:r>
            <w:r w:rsidRPr="00AE1338">
              <w:rPr>
                <w:rFonts w:ascii="Arial" w:hAnsi="Arial" w:cs="Arial"/>
                <w:b/>
                <w:bCs/>
                <w:sz w:val="20"/>
                <w:szCs w:val="20"/>
                <w:lang w:val="en-US"/>
              </w:rPr>
              <w:t>0</w:t>
            </w:r>
          </w:p>
        </w:tc>
        <w:tc>
          <w:tcPr>
            <w:tcW w:w="1666" w:type="pct"/>
            <w:vAlign w:val="center"/>
          </w:tcPr>
          <w:p w14:paraId="6A9FAB00" w14:textId="66B060F8" w:rsidR="00655202" w:rsidRPr="00AE1338" w:rsidRDefault="003D3AC6"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Lunch Time</w:t>
            </w:r>
          </w:p>
        </w:tc>
        <w:tc>
          <w:tcPr>
            <w:tcW w:w="1668" w:type="pct"/>
            <w:vAlign w:val="center"/>
          </w:tcPr>
          <w:p w14:paraId="0A7008CD" w14:textId="16B89853" w:rsidR="00655202" w:rsidRPr="00AE1338" w:rsidRDefault="00655202" w:rsidP="00A51969">
            <w:pPr>
              <w:spacing w:after="0" w:line="240" w:lineRule="auto"/>
              <w:jc w:val="center"/>
              <w:rPr>
                <w:rFonts w:ascii="Arial" w:hAnsi="Arial" w:cs="Arial"/>
                <w:b/>
                <w:bCs/>
                <w:sz w:val="20"/>
                <w:szCs w:val="20"/>
                <w:lang w:val="en-US"/>
              </w:rPr>
            </w:pPr>
          </w:p>
        </w:tc>
      </w:tr>
      <w:tr w:rsidR="00B0283C" w:rsidRPr="00AE1338" w14:paraId="298ECA10" w14:textId="77777777" w:rsidTr="006E7C56">
        <w:trPr>
          <w:jc w:val="center"/>
        </w:trPr>
        <w:tc>
          <w:tcPr>
            <w:tcW w:w="1666" w:type="pct"/>
            <w:vAlign w:val="center"/>
          </w:tcPr>
          <w:p w14:paraId="08BD9FB7" w14:textId="607A0105" w:rsidR="00B0283C" w:rsidRPr="00AE1338" w:rsidRDefault="00B0283C"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1</w:t>
            </w:r>
            <w:r w:rsidR="00E55633">
              <w:rPr>
                <w:rFonts w:ascii="Arial" w:hAnsi="Arial" w:cs="Arial"/>
                <w:b/>
                <w:bCs/>
                <w:sz w:val="20"/>
                <w:szCs w:val="20"/>
                <w:lang w:val="en-US"/>
              </w:rPr>
              <w:t>3</w:t>
            </w:r>
            <w:r w:rsidRPr="00AE1338">
              <w:rPr>
                <w:rFonts w:ascii="Arial" w:hAnsi="Arial" w:cs="Arial"/>
                <w:b/>
                <w:bCs/>
                <w:sz w:val="20"/>
                <w:szCs w:val="20"/>
                <w:lang w:val="en-US"/>
              </w:rPr>
              <w:t>:30 – 17:00</w:t>
            </w:r>
          </w:p>
        </w:tc>
        <w:tc>
          <w:tcPr>
            <w:tcW w:w="1666" w:type="pct"/>
            <w:vAlign w:val="center"/>
          </w:tcPr>
          <w:p w14:paraId="6DA4F7A2" w14:textId="72A4E268" w:rsidR="00B0283C" w:rsidRPr="00AE1338" w:rsidRDefault="00B532B4"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Onsite </w:t>
            </w:r>
            <w:r w:rsidR="00FF3DE8" w:rsidRPr="00AE1338">
              <w:rPr>
                <w:rFonts w:ascii="Arial" w:hAnsi="Arial" w:cs="Arial"/>
                <w:b/>
                <w:bCs/>
                <w:sz w:val="20"/>
                <w:szCs w:val="20"/>
                <w:lang w:val="en-US"/>
              </w:rPr>
              <w:t>Parallel</w:t>
            </w:r>
            <w:r w:rsidR="00F5175A" w:rsidRPr="00AE1338">
              <w:rPr>
                <w:rFonts w:ascii="Arial" w:hAnsi="Arial" w:cs="Arial"/>
                <w:b/>
                <w:bCs/>
                <w:sz w:val="20"/>
                <w:szCs w:val="20"/>
                <w:lang w:val="en-US"/>
              </w:rPr>
              <w:t xml:space="preserve"> Session</w:t>
            </w:r>
          </w:p>
        </w:tc>
        <w:tc>
          <w:tcPr>
            <w:tcW w:w="1668" w:type="pct"/>
            <w:vAlign w:val="center"/>
          </w:tcPr>
          <w:p w14:paraId="6CBCFEFB" w14:textId="2274A5A1" w:rsidR="00B0283C" w:rsidRPr="00AE1338" w:rsidRDefault="003B25D6" w:rsidP="00A51969">
            <w:pPr>
              <w:spacing w:after="0" w:line="240" w:lineRule="auto"/>
              <w:jc w:val="center"/>
              <w:rPr>
                <w:rFonts w:ascii="Arial" w:hAnsi="Arial" w:cs="Arial"/>
                <w:b/>
                <w:bCs/>
                <w:sz w:val="20"/>
                <w:szCs w:val="20"/>
                <w:lang w:val="en-US"/>
              </w:rPr>
            </w:pPr>
            <w:r w:rsidRPr="00C6415C">
              <w:rPr>
                <w:rFonts w:ascii="Arial" w:hAnsi="Arial" w:cs="Arial"/>
                <w:b/>
                <w:bCs/>
                <w:sz w:val="20"/>
                <w:szCs w:val="20"/>
                <w:lang w:val="en-US"/>
              </w:rPr>
              <w:t>Conference Hall, Istanbul Gelisim University, Türkiye</w:t>
            </w:r>
          </w:p>
        </w:tc>
      </w:tr>
    </w:tbl>
    <w:p w14:paraId="4DCCF747" w14:textId="77777777" w:rsidR="00F540BD" w:rsidRPr="00AE1338" w:rsidRDefault="00F540BD" w:rsidP="00A51969">
      <w:pPr>
        <w:spacing w:after="0" w:line="240" w:lineRule="auto"/>
        <w:rPr>
          <w:rFonts w:ascii="Arial" w:hAnsi="Arial" w:cs="Arial"/>
          <w:b/>
          <w:bCs/>
          <w:sz w:val="20"/>
          <w:szCs w:val="2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4"/>
        <w:gridCol w:w="3244"/>
        <w:gridCol w:w="3248"/>
      </w:tblGrid>
      <w:tr w:rsidR="00655202" w:rsidRPr="00AE1338" w14:paraId="38A13ABD" w14:textId="77777777" w:rsidTr="00E45A42">
        <w:trPr>
          <w:jc w:val="center"/>
        </w:trPr>
        <w:tc>
          <w:tcPr>
            <w:tcW w:w="5000" w:type="pct"/>
            <w:gridSpan w:val="3"/>
            <w:vAlign w:val="center"/>
          </w:tcPr>
          <w:p w14:paraId="350FC264" w14:textId="5E14DCBF" w:rsidR="00655202" w:rsidRPr="00AE1338" w:rsidRDefault="002217EE"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20</w:t>
            </w:r>
            <w:r w:rsidR="00655202" w:rsidRPr="00AE1338">
              <w:rPr>
                <w:rFonts w:ascii="Arial" w:hAnsi="Arial" w:cs="Arial"/>
                <w:b/>
                <w:bCs/>
                <w:sz w:val="20"/>
                <w:szCs w:val="20"/>
                <w:vertAlign w:val="superscript"/>
                <w:lang w:val="en-US"/>
              </w:rPr>
              <w:t>th</w:t>
            </w:r>
            <w:r w:rsidR="00655202" w:rsidRPr="00AE1338">
              <w:rPr>
                <w:rFonts w:ascii="Arial" w:hAnsi="Arial" w:cs="Arial"/>
                <w:b/>
                <w:bCs/>
                <w:sz w:val="20"/>
                <w:szCs w:val="20"/>
                <w:lang w:val="en-US"/>
              </w:rPr>
              <w:t xml:space="preserve"> August 202</w:t>
            </w:r>
            <w:r>
              <w:rPr>
                <w:rFonts w:ascii="Arial" w:hAnsi="Arial" w:cs="Arial"/>
                <w:b/>
                <w:bCs/>
                <w:sz w:val="20"/>
                <w:szCs w:val="20"/>
                <w:lang w:val="en-US"/>
              </w:rPr>
              <w:t>6</w:t>
            </w:r>
          </w:p>
        </w:tc>
      </w:tr>
      <w:tr w:rsidR="00655202" w:rsidRPr="00AE1338" w14:paraId="7E777344" w14:textId="77777777" w:rsidTr="003158FD">
        <w:trPr>
          <w:jc w:val="center"/>
        </w:trPr>
        <w:tc>
          <w:tcPr>
            <w:tcW w:w="1666" w:type="pct"/>
            <w:vAlign w:val="center"/>
          </w:tcPr>
          <w:p w14:paraId="1C573848" w14:textId="2D427890" w:rsidR="00655202" w:rsidRPr="00AE1338" w:rsidRDefault="000614C0"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Time (Istanbul Turkiye)</w:t>
            </w:r>
          </w:p>
        </w:tc>
        <w:tc>
          <w:tcPr>
            <w:tcW w:w="1666" w:type="pct"/>
            <w:vAlign w:val="center"/>
          </w:tcPr>
          <w:p w14:paraId="5916F0E8" w14:textId="77777777" w:rsidR="00655202" w:rsidRPr="00AE1338" w:rsidRDefault="00655202"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Activity</w:t>
            </w:r>
          </w:p>
        </w:tc>
        <w:tc>
          <w:tcPr>
            <w:tcW w:w="1668" w:type="pct"/>
            <w:vAlign w:val="center"/>
          </w:tcPr>
          <w:p w14:paraId="6024CA72" w14:textId="77777777" w:rsidR="00655202" w:rsidRPr="00AE1338" w:rsidRDefault="00655202"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Venue</w:t>
            </w:r>
          </w:p>
        </w:tc>
      </w:tr>
      <w:tr w:rsidR="00B40F48" w:rsidRPr="00AE1338" w14:paraId="368A28A9" w14:textId="77777777" w:rsidTr="003158FD">
        <w:trPr>
          <w:jc w:val="center"/>
        </w:trPr>
        <w:tc>
          <w:tcPr>
            <w:tcW w:w="1666" w:type="pct"/>
            <w:vAlign w:val="center"/>
          </w:tcPr>
          <w:p w14:paraId="497BF357" w14:textId="709C4519" w:rsidR="00B40F48" w:rsidRDefault="00B40F48"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08:15</w:t>
            </w:r>
            <w:r w:rsidR="009D627C">
              <w:rPr>
                <w:rFonts w:ascii="Arial" w:hAnsi="Arial" w:cs="Arial"/>
                <w:b/>
                <w:bCs/>
                <w:sz w:val="20"/>
                <w:szCs w:val="20"/>
                <w:lang w:val="en-US"/>
              </w:rPr>
              <w:t>: 09:00</w:t>
            </w:r>
          </w:p>
        </w:tc>
        <w:tc>
          <w:tcPr>
            <w:tcW w:w="1666" w:type="pct"/>
            <w:vAlign w:val="center"/>
          </w:tcPr>
          <w:p w14:paraId="1BFABF79" w14:textId="77777777" w:rsidR="00B40F48" w:rsidRDefault="009D627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Keynote Speaker</w:t>
            </w:r>
          </w:p>
          <w:p w14:paraId="3B92E808" w14:textId="77777777" w:rsidR="00D3453C" w:rsidRPr="00D3453C" w:rsidRDefault="00D3453C" w:rsidP="00D3453C">
            <w:pPr>
              <w:spacing w:after="0" w:line="240" w:lineRule="auto"/>
              <w:jc w:val="center"/>
              <w:rPr>
                <w:rFonts w:ascii="Arial" w:hAnsi="Arial" w:cs="Arial"/>
                <w:b/>
                <w:bCs/>
                <w:sz w:val="20"/>
                <w:szCs w:val="20"/>
                <w:lang w:val="en-US"/>
              </w:rPr>
            </w:pPr>
            <w:r w:rsidRPr="00D3453C">
              <w:rPr>
                <w:rFonts w:ascii="Arial" w:hAnsi="Arial" w:cs="Arial"/>
                <w:b/>
                <w:bCs/>
                <w:sz w:val="20"/>
                <w:szCs w:val="20"/>
                <w:lang w:val="en-US"/>
              </w:rPr>
              <w:t>Ir. Tri Astoto Kurniawan, S.T., M.T., Ph.D., IPM</w:t>
            </w:r>
          </w:p>
          <w:p w14:paraId="0DDC5B7E" w14:textId="77777777" w:rsidR="00D3453C" w:rsidRPr="00D3453C" w:rsidRDefault="00D3453C" w:rsidP="00D3453C">
            <w:pPr>
              <w:spacing w:after="0" w:line="240" w:lineRule="auto"/>
              <w:jc w:val="center"/>
              <w:rPr>
                <w:rFonts w:ascii="Arial" w:hAnsi="Arial" w:cs="Arial"/>
                <w:b/>
                <w:bCs/>
                <w:sz w:val="20"/>
                <w:szCs w:val="20"/>
                <w:lang w:val="en-US"/>
              </w:rPr>
            </w:pPr>
            <w:r w:rsidRPr="00D3453C">
              <w:rPr>
                <w:rFonts w:ascii="Arial" w:hAnsi="Arial" w:cs="Arial"/>
                <w:b/>
                <w:bCs/>
                <w:sz w:val="20"/>
                <w:szCs w:val="20"/>
                <w:lang w:val="en-US"/>
              </w:rPr>
              <w:t>Dean of the Faculty of Computer Science</w:t>
            </w:r>
          </w:p>
          <w:p w14:paraId="33332367" w14:textId="59AEA96B" w:rsidR="00D3453C" w:rsidRPr="00AE1338" w:rsidRDefault="00D3453C" w:rsidP="00D3453C">
            <w:pPr>
              <w:spacing w:after="0" w:line="240" w:lineRule="auto"/>
              <w:jc w:val="center"/>
              <w:rPr>
                <w:rFonts w:ascii="Arial" w:hAnsi="Arial" w:cs="Arial"/>
                <w:b/>
                <w:bCs/>
                <w:sz w:val="20"/>
                <w:szCs w:val="20"/>
                <w:lang w:val="en-US"/>
              </w:rPr>
            </w:pPr>
            <w:r w:rsidRPr="00D3453C">
              <w:rPr>
                <w:rFonts w:ascii="Arial" w:hAnsi="Arial" w:cs="Arial"/>
                <w:b/>
                <w:bCs/>
                <w:sz w:val="20"/>
                <w:szCs w:val="20"/>
                <w:lang w:val="en-US"/>
              </w:rPr>
              <w:t>Universitas Brawijaya</w:t>
            </w:r>
          </w:p>
        </w:tc>
        <w:tc>
          <w:tcPr>
            <w:tcW w:w="1668" w:type="pct"/>
            <w:vAlign w:val="center"/>
          </w:tcPr>
          <w:p w14:paraId="4BE1F53E" w14:textId="5004AB3A" w:rsidR="00B40F48" w:rsidRPr="00AE1338" w:rsidRDefault="009D627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Online</w:t>
            </w:r>
          </w:p>
        </w:tc>
      </w:tr>
      <w:tr w:rsidR="003158FD" w:rsidRPr="00AE1338" w14:paraId="7A6EB6D0" w14:textId="77777777" w:rsidTr="003158FD">
        <w:trPr>
          <w:jc w:val="center"/>
        </w:trPr>
        <w:tc>
          <w:tcPr>
            <w:tcW w:w="1666" w:type="pct"/>
            <w:vAlign w:val="center"/>
          </w:tcPr>
          <w:p w14:paraId="320691B5" w14:textId="196F9911" w:rsidR="003158FD" w:rsidRPr="00AE1338" w:rsidRDefault="00A31CAA"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09:00 – 12:00</w:t>
            </w:r>
          </w:p>
        </w:tc>
        <w:tc>
          <w:tcPr>
            <w:tcW w:w="1666" w:type="pct"/>
            <w:vAlign w:val="center"/>
          </w:tcPr>
          <w:p w14:paraId="41108DB8" w14:textId="267B082D" w:rsidR="003158FD" w:rsidRPr="00AE1338" w:rsidRDefault="00B532B4"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Online </w:t>
            </w:r>
            <w:r w:rsidR="00FF3DE8" w:rsidRPr="00AE1338">
              <w:rPr>
                <w:rFonts w:ascii="Arial" w:hAnsi="Arial" w:cs="Arial"/>
                <w:b/>
                <w:bCs/>
                <w:sz w:val="20"/>
                <w:szCs w:val="20"/>
                <w:lang w:val="en-US"/>
              </w:rPr>
              <w:t>Parallel</w:t>
            </w:r>
            <w:r w:rsidR="00C06924" w:rsidRPr="00AE1338">
              <w:rPr>
                <w:rFonts w:ascii="Arial" w:hAnsi="Arial" w:cs="Arial"/>
                <w:b/>
                <w:bCs/>
                <w:sz w:val="20"/>
                <w:szCs w:val="20"/>
                <w:lang w:val="en-US"/>
              </w:rPr>
              <w:t xml:space="preserve"> Session</w:t>
            </w:r>
          </w:p>
        </w:tc>
        <w:tc>
          <w:tcPr>
            <w:tcW w:w="1668" w:type="pct"/>
            <w:vAlign w:val="center"/>
          </w:tcPr>
          <w:p w14:paraId="3319A8D5" w14:textId="7133A54D" w:rsidR="007726E2" w:rsidRPr="00AE1338" w:rsidRDefault="00C06924"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Online</w:t>
            </w:r>
          </w:p>
        </w:tc>
      </w:tr>
      <w:tr w:rsidR="005E06F3" w:rsidRPr="00AE1338" w14:paraId="5CC63FFA" w14:textId="77777777" w:rsidTr="003158FD">
        <w:trPr>
          <w:jc w:val="center"/>
        </w:trPr>
        <w:tc>
          <w:tcPr>
            <w:tcW w:w="1666" w:type="pct"/>
            <w:vAlign w:val="center"/>
          </w:tcPr>
          <w:p w14:paraId="046835B0" w14:textId="409020C8" w:rsidR="005E06F3" w:rsidRPr="00AE1338" w:rsidRDefault="005E06F3"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12:00 – 13:00</w:t>
            </w:r>
          </w:p>
        </w:tc>
        <w:tc>
          <w:tcPr>
            <w:tcW w:w="1666" w:type="pct"/>
            <w:vAlign w:val="center"/>
          </w:tcPr>
          <w:p w14:paraId="2CE0589C" w14:textId="74466DB2" w:rsidR="005E06F3" w:rsidRPr="00AE1338" w:rsidRDefault="005E06F3"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Lunch Time</w:t>
            </w:r>
          </w:p>
        </w:tc>
        <w:tc>
          <w:tcPr>
            <w:tcW w:w="1668" w:type="pct"/>
            <w:vAlign w:val="center"/>
          </w:tcPr>
          <w:p w14:paraId="35B430F0" w14:textId="24A4D2BE" w:rsidR="005E06F3" w:rsidRPr="00AE1338" w:rsidRDefault="005E06F3" w:rsidP="00A51969">
            <w:pPr>
              <w:spacing w:after="0" w:line="240" w:lineRule="auto"/>
              <w:jc w:val="center"/>
              <w:rPr>
                <w:rFonts w:ascii="Arial" w:hAnsi="Arial" w:cs="Arial"/>
                <w:b/>
                <w:bCs/>
                <w:sz w:val="20"/>
                <w:szCs w:val="20"/>
                <w:lang w:val="en-US"/>
              </w:rPr>
            </w:pPr>
          </w:p>
        </w:tc>
      </w:tr>
      <w:tr w:rsidR="005E06F3" w:rsidRPr="00AE1338" w14:paraId="11ED6F40" w14:textId="77777777" w:rsidTr="003158FD">
        <w:trPr>
          <w:jc w:val="center"/>
        </w:trPr>
        <w:tc>
          <w:tcPr>
            <w:tcW w:w="1666" w:type="pct"/>
            <w:vAlign w:val="center"/>
          </w:tcPr>
          <w:p w14:paraId="3C913D07" w14:textId="4F0BFD11" w:rsidR="005E06F3" w:rsidRPr="00AE1338" w:rsidRDefault="005E06F3"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13:00 – 1</w:t>
            </w:r>
            <w:r w:rsidR="00E55633">
              <w:rPr>
                <w:rFonts w:ascii="Arial" w:hAnsi="Arial" w:cs="Arial"/>
                <w:b/>
                <w:bCs/>
                <w:sz w:val="20"/>
                <w:szCs w:val="20"/>
                <w:lang w:val="en-US"/>
              </w:rPr>
              <w:t>4</w:t>
            </w:r>
            <w:r w:rsidRPr="00AE1338">
              <w:rPr>
                <w:rFonts w:ascii="Arial" w:hAnsi="Arial" w:cs="Arial"/>
                <w:b/>
                <w:bCs/>
                <w:sz w:val="20"/>
                <w:szCs w:val="20"/>
                <w:lang w:val="en-US"/>
              </w:rPr>
              <w:t>:</w:t>
            </w:r>
            <w:r w:rsidR="00E55633">
              <w:rPr>
                <w:rFonts w:ascii="Arial" w:hAnsi="Arial" w:cs="Arial"/>
                <w:b/>
                <w:bCs/>
                <w:sz w:val="20"/>
                <w:szCs w:val="20"/>
                <w:lang w:val="en-US"/>
              </w:rPr>
              <w:t>15</w:t>
            </w:r>
          </w:p>
        </w:tc>
        <w:tc>
          <w:tcPr>
            <w:tcW w:w="1666" w:type="pct"/>
            <w:vAlign w:val="center"/>
          </w:tcPr>
          <w:p w14:paraId="7012364B" w14:textId="44F9F292" w:rsidR="008E2D9F" w:rsidRDefault="00597633"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Workshop</w:t>
            </w:r>
          </w:p>
          <w:p w14:paraId="2ADEFBE7" w14:textId="01665BF0" w:rsidR="008A55A1" w:rsidRPr="00FC701D" w:rsidRDefault="008A55A1" w:rsidP="00A51969">
            <w:pPr>
              <w:spacing w:after="0" w:line="240" w:lineRule="auto"/>
              <w:jc w:val="center"/>
              <w:rPr>
                <w:rFonts w:ascii="Arial" w:hAnsi="Arial" w:cs="Arial"/>
                <w:b/>
                <w:bCs/>
                <w:sz w:val="20"/>
                <w:szCs w:val="20"/>
                <w:lang w:val="en-US"/>
              </w:rPr>
            </w:pPr>
            <w:proofErr w:type="gramStart"/>
            <w:r>
              <w:rPr>
                <w:rFonts w:ascii="Arial" w:hAnsi="Arial" w:cs="Arial"/>
                <w:b/>
                <w:bCs/>
                <w:sz w:val="20"/>
                <w:szCs w:val="20"/>
                <w:lang w:val="en-US"/>
              </w:rPr>
              <w:t>Moderator :</w:t>
            </w:r>
            <w:proofErr w:type="gramEnd"/>
            <w:r>
              <w:rPr>
                <w:rFonts w:ascii="Arial" w:hAnsi="Arial" w:cs="Arial"/>
                <w:b/>
                <w:bCs/>
                <w:sz w:val="20"/>
                <w:szCs w:val="20"/>
                <w:lang w:val="en-US"/>
              </w:rPr>
              <w:t xml:space="preserve"> </w:t>
            </w:r>
            <w:r w:rsidRPr="008A55A1">
              <w:rPr>
                <w:rFonts w:ascii="Arial" w:hAnsi="Arial" w:cs="Arial"/>
                <w:b/>
                <w:bCs/>
                <w:sz w:val="20"/>
                <w:szCs w:val="20"/>
                <w:lang w:val="en-US"/>
              </w:rPr>
              <w:t xml:space="preserve">Darusalam, </w:t>
            </w:r>
            <w:proofErr w:type="gramStart"/>
            <w:r w:rsidRPr="008A55A1">
              <w:rPr>
                <w:rFonts w:ascii="Arial" w:hAnsi="Arial" w:cs="Arial"/>
                <w:b/>
                <w:bCs/>
                <w:sz w:val="20"/>
                <w:szCs w:val="20"/>
                <w:lang w:val="en-US"/>
              </w:rPr>
              <w:t>S.Kom</w:t>
            </w:r>
            <w:proofErr w:type="gramEnd"/>
            <w:r w:rsidRPr="008A55A1">
              <w:rPr>
                <w:rFonts w:ascii="Arial" w:hAnsi="Arial" w:cs="Arial"/>
                <w:b/>
                <w:bCs/>
                <w:sz w:val="20"/>
                <w:szCs w:val="20"/>
                <w:lang w:val="en-US"/>
              </w:rPr>
              <w:t>., MSc., PhD - Scopus ID: 57201701139</w:t>
            </w:r>
          </w:p>
        </w:tc>
        <w:tc>
          <w:tcPr>
            <w:tcW w:w="1668" w:type="pct"/>
            <w:vAlign w:val="center"/>
          </w:tcPr>
          <w:p w14:paraId="477295E6" w14:textId="451D56BF" w:rsidR="005E06F3" w:rsidRPr="00AE1338" w:rsidRDefault="00527C5D"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Online</w:t>
            </w:r>
          </w:p>
        </w:tc>
      </w:tr>
      <w:tr w:rsidR="002342F5" w:rsidRPr="00AE1338" w14:paraId="57465EFC" w14:textId="77777777" w:rsidTr="003158FD">
        <w:trPr>
          <w:jc w:val="center"/>
        </w:trPr>
        <w:tc>
          <w:tcPr>
            <w:tcW w:w="1666" w:type="pct"/>
            <w:vAlign w:val="center"/>
          </w:tcPr>
          <w:p w14:paraId="6C48C086" w14:textId="3368010C" w:rsidR="002342F5" w:rsidRPr="00AE1338" w:rsidRDefault="002342F5"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1</w:t>
            </w:r>
            <w:r w:rsidR="00E55633">
              <w:rPr>
                <w:rFonts w:ascii="Arial" w:hAnsi="Arial" w:cs="Arial"/>
                <w:b/>
                <w:bCs/>
                <w:sz w:val="20"/>
                <w:szCs w:val="20"/>
                <w:lang w:val="en-US"/>
              </w:rPr>
              <w:t>4</w:t>
            </w:r>
            <w:r w:rsidRPr="00AE1338">
              <w:rPr>
                <w:rFonts w:ascii="Arial" w:hAnsi="Arial" w:cs="Arial"/>
                <w:b/>
                <w:bCs/>
                <w:sz w:val="20"/>
                <w:szCs w:val="20"/>
                <w:lang w:val="en-US"/>
              </w:rPr>
              <w:t>:</w:t>
            </w:r>
            <w:r w:rsidR="00E55633">
              <w:rPr>
                <w:rFonts w:ascii="Arial" w:hAnsi="Arial" w:cs="Arial"/>
                <w:b/>
                <w:bCs/>
                <w:sz w:val="20"/>
                <w:szCs w:val="20"/>
                <w:lang w:val="en-US"/>
              </w:rPr>
              <w:t>15</w:t>
            </w:r>
            <w:r w:rsidRPr="00AE1338">
              <w:rPr>
                <w:rFonts w:ascii="Arial" w:hAnsi="Arial" w:cs="Arial"/>
                <w:b/>
                <w:bCs/>
                <w:sz w:val="20"/>
                <w:szCs w:val="20"/>
                <w:lang w:val="en-US"/>
              </w:rPr>
              <w:t xml:space="preserve"> – 1</w:t>
            </w:r>
            <w:r w:rsidR="00E55633">
              <w:rPr>
                <w:rFonts w:ascii="Arial" w:hAnsi="Arial" w:cs="Arial"/>
                <w:b/>
                <w:bCs/>
                <w:sz w:val="20"/>
                <w:szCs w:val="20"/>
                <w:lang w:val="en-US"/>
              </w:rPr>
              <w:t>4</w:t>
            </w:r>
            <w:r w:rsidRPr="00AE1338">
              <w:rPr>
                <w:rFonts w:ascii="Arial" w:hAnsi="Arial" w:cs="Arial"/>
                <w:b/>
                <w:bCs/>
                <w:sz w:val="20"/>
                <w:szCs w:val="20"/>
                <w:lang w:val="en-US"/>
              </w:rPr>
              <w:t>:30</w:t>
            </w:r>
          </w:p>
        </w:tc>
        <w:tc>
          <w:tcPr>
            <w:tcW w:w="1666" w:type="pct"/>
            <w:vAlign w:val="center"/>
          </w:tcPr>
          <w:p w14:paraId="3E0EC6B9" w14:textId="142D5A72" w:rsidR="002342F5" w:rsidRPr="00AE1338" w:rsidRDefault="002342F5"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Closing Remarks</w:t>
            </w:r>
          </w:p>
        </w:tc>
        <w:tc>
          <w:tcPr>
            <w:tcW w:w="1668" w:type="pct"/>
            <w:vAlign w:val="center"/>
          </w:tcPr>
          <w:p w14:paraId="57EA6C37" w14:textId="1B7D75F1" w:rsidR="002342F5" w:rsidRPr="00AE1338" w:rsidRDefault="00B85BDC"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Online</w:t>
            </w:r>
          </w:p>
        </w:tc>
      </w:tr>
    </w:tbl>
    <w:p w14:paraId="0DA518D5" w14:textId="77777777" w:rsidR="004D4907" w:rsidRDefault="004D4907" w:rsidP="00A51969">
      <w:pPr>
        <w:spacing w:after="0" w:line="240" w:lineRule="auto"/>
        <w:rPr>
          <w:rFonts w:ascii="Arial" w:hAnsi="Arial" w:cs="Arial"/>
          <w:b/>
          <w:bCs/>
          <w:sz w:val="20"/>
          <w:szCs w:val="20"/>
          <w:lang w:val="en-US"/>
        </w:rPr>
      </w:pPr>
    </w:p>
    <w:p w14:paraId="74567177" w14:textId="11C6FDF4" w:rsidR="00092FB9" w:rsidRDefault="00092FB9"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Zoom Link for all Hybrid Session:</w:t>
      </w:r>
    </w:p>
    <w:p w14:paraId="7E57EE44" w14:textId="4E38CE7D" w:rsidR="00092FB9" w:rsidRPr="006C21BD" w:rsidRDefault="00092FB9" w:rsidP="00A51969">
      <w:pPr>
        <w:spacing w:after="0" w:line="240" w:lineRule="auto"/>
        <w:jc w:val="center"/>
        <w:rPr>
          <w:rFonts w:ascii="Arial" w:hAnsi="Arial" w:cs="Arial"/>
          <w:sz w:val="20"/>
          <w:szCs w:val="20"/>
          <w:lang w:val="en-US"/>
        </w:rPr>
      </w:pPr>
      <w:r w:rsidRPr="006C21BD">
        <w:rPr>
          <w:rFonts w:ascii="Arial" w:hAnsi="Arial" w:cs="Arial"/>
          <w:sz w:val="20"/>
          <w:szCs w:val="20"/>
          <w:lang w:val="en-US"/>
        </w:rPr>
        <w:t>https://univ-brawijaya.zoom.us/j/93634441867?pwd=XEpis4IWUHQHEpv7Y9BLKbxCw1Gsst.1</w:t>
      </w:r>
    </w:p>
    <w:p w14:paraId="159E0B76" w14:textId="77777777" w:rsidR="00092FB9" w:rsidRPr="00AE1338" w:rsidRDefault="00092FB9" w:rsidP="00A51969">
      <w:pPr>
        <w:spacing w:after="0" w:line="240" w:lineRule="auto"/>
        <w:rPr>
          <w:rFonts w:ascii="Arial" w:hAnsi="Arial" w:cs="Arial"/>
          <w:b/>
          <w:bCs/>
          <w:sz w:val="20"/>
          <w:szCs w:val="20"/>
          <w:lang w:val="en-US"/>
        </w:rPr>
      </w:pPr>
    </w:p>
    <w:p w14:paraId="2610A546" w14:textId="33AF0ED7" w:rsidR="004D4907" w:rsidRPr="00AE1338" w:rsidRDefault="004D4907" w:rsidP="00A51969">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hAnsi="Arial" w:cs="Arial"/>
          <w:b/>
          <w:bCs/>
          <w:sz w:val="20"/>
          <w:szCs w:val="20"/>
          <w:lang w:val="en-US"/>
        </w:rPr>
      </w:pPr>
      <w:r w:rsidRPr="00AE1338">
        <w:rPr>
          <w:rFonts w:ascii="Arial" w:hAnsi="Arial" w:cs="Arial"/>
          <w:b/>
          <w:bCs/>
          <w:sz w:val="20"/>
          <w:szCs w:val="20"/>
          <w:lang w:val="en-US"/>
        </w:rPr>
        <w:t>DETAIL OF SESSION</w:t>
      </w:r>
      <w:r w:rsidR="00843603">
        <w:rPr>
          <w:rFonts w:ascii="Arial" w:hAnsi="Arial" w:cs="Arial"/>
          <w:b/>
          <w:bCs/>
          <w:sz w:val="20"/>
          <w:szCs w:val="20"/>
          <w:lang w:val="en-US"/>
        </w:rPr>
        <w:t xml:space="preserve"> (</w:t>
      </w:r>
      <w:r w:rsidR="00644383">
        <w:rPr>
          <w:rFonts w:ascii="Arial" w:hAnsi="Arial" w:cs="Arial"/>
          <w:b/>
          <w:bCs/>
          <w:sz w:val="20"/>
          <w:szCs w:val="20"/>
          <w:lang w:val="en-US"/>
        </w:rPr>
        <w:t>*</w:t>
      </w:r>
      <w:r w:rsidR="00843603">
        <w:rPr>
          <w:rFonts w:ascii="Arial" w:hAnsi="Arial" w:cs="Arial"/>
          <w:b/>
          <w:bCs/>
          <w:sz w:val="20"/>
          <w:szCs w:val="20"/>
          <w:lang w:val="en-US"/>
        </w:rPr>
        <w:t>tbc)</w:t>
      </w:r>
    </w:p>
    <w:p w14:paraId="50DD8967" w14:textId="77777777" w:rsidR="004D4907" w:rsidRPr="00AE1338" w:rsidRDefault="004D4907" w:rsidP="00A51969">
      <w:pPr>
        <w:spacing w:after="0" w:line="240" w:lineRule="auto"/>
        <w:jc w:val="center"/>
        <w:rPr>
          <w:rFonts w:ascii="Arial" w:hAnsi="Arial" w:cs="Arial"/>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6339"/>
      </w:tblGrid>
      <w:tr w:rsidR="00BA2A5B" w:rsidRPr="00E84230" w14:paraId="77890E98" w14:textId="77777777" w:rsidTr="00860886">
        <w:trPr>
          <w:jc w:val="center"/>
        </w:trPr>
        <w:tc>
          <w:tcPr>
            <w:tcW w:w="0" w:type="auto"/>
            <w:gridSpan w:val="3"/>
            <w:vAlign w:val="center"/>
          </w:tcPr>
          <w:p w14:paraId="5C67CBC2" w14:textId="492AF4C3" w:rsidR="00BA2A5B" w:rsidRPr="00E84230" w:rsidRDefault="000614C0" w:rsidP="00A51969">
            <w:pPr>
              <w:spacing w:after="0" w:line="240" w:lineRule="auto"/>
              <w:jc w:val="right"/>
              <w:rPr>
                <w:rFonts w:ascii="Arial" w:hAnsi="Arial" w:cs="Arial"/>
                <w:b/>
                <w:bCs/>
                <w:sz w:val="20"/>
                <w:szCs w:val="20"/>
                <w:lang w:val="en-US"/>
              </w:rPr>
            </w:pPr>
            <w:r w:rsidRPr="00E84230">
              <w:rPr>
                <w:rFonts w:ascii="Arial" w:hAnsi="Arial" w:cs="Arial"/>
                <w:b/>
                <w:bCs/>
                <w:sz w:val="20"/>
                <w:szCs w:val="20"/>
                <w:lang w:val="en-US"/>
              </w:rPr>
              <w:t>19</w:t>
            </w:r>
            <w:r w:rsidR="00BA2A5B" w:rsidRPr="00E84230">
              <w:rPr>
                <w:rFonts w:ascii="Arial" w:hAnsi="Arial" w:cs="Arial"/>
                <w:b/>
                <w:bCs/>
                <w:sz w:val="20"/>
                <w:szCs w:val="20"/>
                <w:vertAlign w:val="superscript"/>
                <w:lang w:val="en-US"/>
              </w:rPr>
              <w:t>th</w:t>
            </w:r>
            <w:r w:rsidR="00BA2A5B" w:rsidRPr="00E84230">
              <w:rPr>
                <w:rFonts w:ascii="Arial" w:hAnsi="Arial" w:cs="Arial"/>
                <w:b/>
                <w:bCs/>
                <w:sz w:val="20"/>
                <w:szCs w:val="20"/>
                <w:lang w:val="en-US"/>
              </w:rPr>
              <w:t xml:space="preserve"> August 2025</w:t>
            </w:r>
          </w:p>
          <w:p w14:paraId="0E93BAD9" w14:textId="7E95AF5B" w:rsidR="00BA2A5B" w:rsidRPr="00E84230" w:rsidRDefault="004A12FA"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Parallel </w:t>
            </w:r>
            <w:r w:rsidR="00BA2A5B" w:rsidRPr="00E84230">
              <w:rPr>
                <w:rFonts w:ascii="Arial" w:hAnsi="Arial" w:cs="Arial"/>
                <w:b/>
                <w:bCs/>
                <w:sz w:val="20"/>
                <w:szCs w:val="20"/>
                <w:lang w:val="en-US"/>
              </w:rPr>
              <w:t>Session A</w:t>
            </w:r>
          </w:p>
          <w:p w14:paraId="44996CA1" w14:textId="13374E75" w:rsidR="00807D55" w:rsidRPr="00E84230" w:rsidRDefault="00BA2A5B" w:rsidP="00A51969">
            <w:pPr>
              <w:spacing w:after="0" w:line="240" w:lineRule="auto"/>
              <w:rPr>
                <w:rFonts w:ascii="Arial" w:hAnsi="Arial" w:cs="Arial"/>
                <w:b/>
                <w:bCs/>
                <w:sz w:val="20"/>
                <w:szCs w:val="20"/>
                <w:lang w:val="en-US"/>
              </w:rPr>
            </w:pPr>
            <w:r w:rsidRPr="00E84230">
              <w:rPr>
                <w:rFonts w:ascii="Arial" w:hAnsi="Arial" w:cs="Arial"/>
                <w:b/>
                <w:bCs/>
                <w:sz w:val="20"/>
                <w:szCs w:val="20"/>
                <w:lang w:val="en-US"/>
              </w:rPr>
              <w:t>Session Chair:</w:t>
            </w:r>
            <w:r w:rsidR="000614C0" w:rsidRPr="00E84230">
              <w:rPr>
                <w:rFonts w:ascii="Arial" w:hAnsi="Arial" w:cs="Arial"/>
                <w:b/>
                <w:bCs/>
                <w:sz w:val="20"/>
                <w:szCs w:val="20"/>
                <w:lang w:val="en-US"/>
              </w:rPr>
              <w:t xml:space="preserve"> </w:t>
            </w:r>
            <w:r w:rsidR="004874E7">
              <w:rPr>
                <w:rFonts w:ascii="Arial" w:hAnsi="Arial" w:cs="Arial"/>
                <w:b/>
                <w:bCs/>
                <w:sz w:val="20"/>
                <w:szCs w:val="20"/>
                <w:lang w:val="en-US"/>
              </w:rPr>
              <w:t>Dr. Ahmad Tajudin</w:t>
            </w:r>
            <w:r w:rsidR="00156DAC">
              <w:rPr>
                <w:rFonts w:ascii="Arial" w:hAnsi="Arial" w:cs="Arial"/>
                <w:b/>
                <w:bCs/>
                <w:sz w:val="20"/>
                <w:szCs w:val="20"/>
                <w:lang w:val="en-US"/>
              </w:rPr>
              <w:t>/Bayu Raha</w:t>
            </w:r>
            <w:r w:rsidR="009727FD">
              <w:rPr>
                <w:rFonts w:ascii="Arial" w:hAnsi="Arial" w:cs="Arial"/>
                <w:b/>
                <w:bCs/>
                <w:sz w:val="20"/>
                <w:szCs w:val="20"/>
                <w:lang w:val="en-US"/>
              </w:rPr>
              <w:t>yudi MT.MM</w:t>
            </w:r>
          </w:p>
          <w:p w14:paraId="1D58AA36" w14:textId="77777777" w:rsidR="00BA2A5B" w:rsidRDefault="00BA2A5B" w:rsidP="00A51969">
            <w:pPr>
              <w:spacing w:after="0" w:line="240" w:lineRule="auto"/>
              <w:rPr>
                <w:rFonts w:ascii="Arial" w:hAnsi="Arial" w:cs="Arial"/>
                <w:b/>
                <w:bCs/>
                <w:sz w:val="20"/>
                <w:szCs w:val="20"/>
                <w:lang w:val="en-US"/>
              </w:rPr>
            </w:pPr>
            <w:r w:rsidRPr="00E84230">
              <w:rPr>
                <w:rFonts w:ascii="Arial" w:hAnsi="Arial" w:cs="Arial"/>
                <w:b/>
                <w:bCs/>
                <w:sz w:val="20"/>
                <w:szCs w:val="20"/>
                <w:lang w:val="en-US"/>
              </w:rPr>
              <w:t>Location:</w:t>
            </w:r>
            <w:r w:rsidR="00B0283C" w:rsidRPr="00E84230">
              <w:rPr>
                <w:rFonts w:ascii="Arial" w:hAnsi="Arial" w:cs="Arial"/>
                <w:b/>
                <w:bCs/>
                <w:sz w:val="20"/>
                <w:szCs w:val="20"/>
                <w:lang w:val="en-US"/>
              </w:rPr>
              <w:t xml:space="preserve"> </w:t>
            </w:r>
            <w:r w:rsidR="00DB07BF" w:rsidRPr="00DB07BF">
              <w:rPr>
                <w:rFonts w:ascii="Arial" w:hAnsi="Arial" w:cs="Arial"/>
                <w:b/>
                <w:bCs/>
                <w:sz w:val="20"/>
                <w:szCs w:val="20"/>
                <w:lang w:val="en-US"/>
              </w:rPr>
              <w:t>“Mehmet Akif Ersoy Conference Hall”</w:t>
            </w:r>
          </w:p>
          <w:p w14:paraId="23E73280" w14:textId="7EBAB13D" w:rsidR="00DB07BF" w:rsidRPr="00E84230" w:rsidRDefault="00DB07BF" w:rsidP="00A51969">
            <w:pPr>
              <w:spacing w:after="0" w:line="240" w:lineRule="auto"/>
              <w:rPr>
                <w:rFonts w:ascii="Arial" w:hAnsi="Arial" w:cs="Arial"/>
                <w:b/>
                <w:bCs/>
                <w:sz w:val="20"/>
                <w:szCs w:val="20"/>
                <w:lang w:val="en-US"/>
              </w:rPr>
            </w:pPr>
          </w:p>
        </w:tc>
      </w:tr>
      <w:tr w:rsidR="00BA2A5B" w:rsidRPr="00E84230" w14:paraId="1D8C879B" w14:textId="77777777" w:rsidTr="00CE38D2">
        <w:trPr>
          <w:jc w:val="center"/>
        </w:trPr>
        <w:tc>
          <w:tcPr>
            <w:tcW w:w="1696" w:type="dxa"/>
            <w:vAlign w:val="center"/>
          </w:tcPr>
          <w:p w14:paraId="6001E2F7" w14:textId="33977B89" w:rsidR="00BA2A5B" w:rsidRPr="00E84230" w:rsidRDefault="000614C0"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Time (Istanbul Turkiye)</w:t>
            </w:r>
          </w:p>
        </w:tc>
        <w:tc>
          <w:tcPr>
            <w:tcW w:w="1701" w:type="dxa"/>
            <w:vAlign w:val="center"/>
          </w:tcPr>
          <w:p w14:paraId="436D0069" w14:textId="338FF24A" w:rsidR="00BA2A5B" w:rsidRPr="00E84230" w:rsidRDefault="00B0283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Paper </w:t>
            </w:r>
            <w:r w:rsidR="001332F2">
              <w:rPr>
                <w:rFonts w:ascii="Arial" w:hAnsi="Arial" w:cs="Arial"/>
                <w:b/>
                <w:bCs/>
                <w:sz w:val="20"/>
                <w:szCs w:val="20"/>
                <w:lang w:val="en-US"/>
              </w:rPr>
              <w:t>ID</w:t>
            </w:r>
          </w:p>
        </w:tc>
        <w:tc>
          <w:tcPr>
            <w:tcW w:w="6339" w:type="dxa"/>
            <w:vAlign w:val="center"/>
          </w:tcPr>
          <w:p w14:paraId="47B59E73" w14:textId="70B6BDAE" w:rsidR="00BA2A5B" w:rsidRPr="00E84230" w:rsidRDefault="001332F2"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Paper</w:t>
            </w:r>
            <w:r>
              <w:rPr>
                <w:rFonts w:ascii="Arial" w:hAnsi="Arial" w:cs="Arial"/>
                <w:b/>
                <w:bCs/>
                <w:sz w:val="20"/>
                <w:szCs w:val="20"/>
                <w:lang w:val="en-US"/>
              </w:rPr>
              <w:t xml:space="preserve"> Title</w:t>
            </w:r>
          </w:p>
        </w:tc>
      </w:tr>
      <w:tr w:rsidR="00A51969" w:rsidRPr="00E84230" w14:paraId="7D0867BA" w14:textId="77777777" w:rsidTr="00A51969">
        <w:trPr>
          <w:jc w:val="center"/>
        </w:trPr>
        <w:tc>
          <w:tcPr>
            <w:tcW w:w="1696" w:type="dxa"/>
            <w:vAlign w:val="center"/>
          </w:tcPr>
          <w:p w14:paraId="333B1961" w14:textId="719FE97F" w:rsidR="00A51969" w:rsidRPr="00A51969"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13:30–13:50</w:t>
            </w:r>
          </w:p>
        </w:tc>
        <w:tc>
          <w:tcPr>
            <w:tcW w:w="1701" w:type="dxa"/>
            <w:vAlign w:val="center"/>
          </w:tcPr>
          <w:p w14:paraId="7D49706E" w14:textId="3BA5F251"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33</w:t>
            </w:r>
          </w:p>
        </w:tc>
        <w:tc>
          <w:tcPr>
            <w:tcW w:w="6339" w:type="dxa"/>
            <w:vAlign w:val="center"/>
          </w:tcPr>
          <w:p w14:paraId="056B3622" w14:textId="101B2877"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 xml:space="preserve">From Social Influence </w:t>
            </w:r>
            <w:proofErr w:type="gramStart"/>
            <w:r w:rsidRPr="00082253">
              <w:rPr>
                <w:rFonts w:ascii="Arial" w:hAnsi="Arial" w:cs="Arial"/>
                <w:color w:val="000000"/>
                <w:sz w:val="20"/>
                <w:szCs w:val="20"/>
              </w:rPr>
              <w:t>to</w:t>
            </w:r>
            <w:proofErr w:type="gramEnd"/>
            <w:r w:rsidRPr="00082253">
              <w:rPr>
                <w:rFonts w:ascii="Arial" w:hAnsi="Arial" w:cs="Arial"/>
                <w:color w:val="000000"/>
                <w:sz w:val="20"/>
                <w:szCs w:val="20"/>
              </w:rPr>
              <w:t xml:space="preserve"> Purchase Decision: The Mediating Role of Purchase Intention in Streamer Reviews, Virality, and Electronic Word of Mouth</w:t>
            </w:r>
          </w:p>
        </w:tc>
      </w:tr>
      <w:tr w:rsidR="00A51969" w:rsidRPr="00E84230" w14:paraId="61AF7271" w14:textId="77777777" w:rsidTr="00A51969">
        <w:trPr>
          <w:jc w:val="center"/>
        </w:trPr>
        <w:tc>
          <w:tcPr>
            <w:tcW w:w="1696" w:type="dxa"/>
            <w:vAlign w:val="center"/>
          </w:tcPr>
          <w:p w14:paraId="46803F4F" w14:textId="5204456C" w:rsidR="00A51969" w:rsidRPr="00A51969"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13:50–14:10</w:t>
            </w:r>
          </w:p>
        </w:tc>
        <w:tc>
          <w:tcPr>
            <w:tcW w:w="1701" w:type="dxa"/>
            <w:vAlign w:val="center"/>
          </w:tcPr>
          <w:p w14:paraId="41099363" w14:textId="06BFC7A3"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48</w:t>
            </w:r>
          </w:p>
        </w:tc>
        <w:tc>
          <w:tcPr>
            <w:tcW w:w="6339" w:type="dxa"/>
            <w:vAlign w:val="center"/>
          </w:tcPr>
          <w:p w14:paraId="27682711" w14:textId="56B6ED67"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Applying Social Cognitive Theory to Understand Prompt Engineering Strategies Among Backend Engineers</w:t>
            </w:r>
          </w:p>
        </w:tc>
      </w:tr>
      <w:tr w:rsidR="00A51969" w:rsidRPr="00082253" w14:paraId="762B1069" w14:textId="77777777" w:rsidTr="00A51969">
        <w:trPr>
          <w:jc w:val="center"/>
        </w:trPr>
        <w:tc>
          <w:tcPr>
            <w:tcW w:w="1696" w:type="dxa"/>
            <w:vAlign w:val="center"/>
          </w:tcPr>
          <w:p w14:paraId="22C64CE4" w14:textId="4D3FA56D" w:rsidR="00A51969" w:rsidRPr="00A51969"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14:10–14:30</w:t>
            </w:r>
          </w:p>
        </w:tc>
        <w:tc>
          <w:tcPr>
            <w:tcW w:w="1701" w:type="dxa"/>
            <w:vAlign w:val="center"/>
          </w:tcPr>
          <w:p w14:paraId="2C8099A0" w14:textId="1D05CD10"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54</w:t>
            </w:r>
          </w:p>
        </w:tc>
        <w:tc>
          <w:tcPr>
            <w:tcW w:w="6339" w:type="dxa"/>
            <w:vAlign w:val="center"/>
          </w:tcPr>
          <w:p w14:paraId="5C925DF3" w14:textId="3704FAF2"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Dual-Guided Diffusion for Batik Pattern Synthesis</w:t>
            </w:r>
          </w:p>
        </w:tc>
      </w:tr>
      <w:tr w:rsidR="00A51969" w:rsidRPr="00E84230" w14:paraId="1228FA4D" w14:textId="77777777" w:rsidTr="00A51969">
        <w:trPr>
          <w:jc w:val="center"/>
        </w:trPr>
        <w:tc>
          <w:tcPr>
            <w:tcW w:w="1696" w:type="dxa"/>
            <w:vAlign w:val="center"/>
          </w:tcPr>
          <w:p w14:paraId="6D2183E1" w14:textId="0719AA45" w:rsidR="00A51969" w:rsidRPr="00A51969"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14:30–14:50</w:t>
            </w:r>
          </w:p>
        </w:tc>
        <w:tc>
          <w:tcPr>
            <w:tcW w:w="1701" w:type="dxa"/>
            <w:vAlign w:val="center"/>
          </w:tcPr>
          <w:p w14:paraId="39CD329E" w14:textId="2A9EB53D"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58</w:t>
            </w:r>
          </w:p>
        </w:tc>
        <w:tc>
          <w:tcPr>
            <w:tcW w:w="6339" w:type="dxa"/>
            <w:vAlign w:val="center"/>
          </w:tcPr>
          <w:p w14:paraId="101BB630" w14:textId="628B19B7"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MLP-based GAN for Augmenting DNA Sequence Data in Dengue Shock Syndrome Detection</w:t>
            </w:r>
          </w:p>
        </w:tc>
      </w:tr>
      <w:tr w:rsidR="00A51969" w:rsidRPr="00E84230" w14:paraId="4FC8A6CE" w14:textId="77777777" w:rsidTr="00A51969">
        <w:trPr>
          <w:jc w:val="center"/>
        </w:trPr>
        <w:tc>
          <w:tcPr>
            <w:tcW w:w="1696" w:type="dxa"/>
            <w:vAlign w:val="center"/>
          </w:tcPr>
          <w:p w14:paraId="435E8958" w14:textId="3ACCD4D9" w:rsidR="00A51969" w:rsidRPr="00A51969"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14:50–15:10</w:t>
            </w:r>
          </w:p>
        </w:tc>
        <w:tc>
          <w:tcPr>
            <w:tcW w:w="1701" w:type="dxa"/>
            <w:vAlign w:val="center"/>
          </w:tcPr>
          <w:p w14:paraId="1CC7CD29" w14:textId="2BCFBEB2"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62</w:t>
            </w:r>
          </w:p>
        </w:tc>
        <w:tc>
          <w:tcPr>
            <w:tcW w:w="6339" w:type="dxa"/>
            <w:vAlign w:val="center"/>
          </w:tcPr>
          <w:p w14:paraId="38166FB8" w14:textId="593B96A7"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Forensic Timbre Analysis of Anger-Induced Speech Variability Using Wavelet-Cepstral Features</w:t>
            </w:r>
          </w:p>
        </w:tc>
      </w:tr>
      <w:tr w:rsidR="00A51969" w:rsidRPr="00E84230" w14:paraId="5EBAA55D" w14:textId="77777777" w:rsidTr="00A51969">
        <w:trPr>
          <w:jc w:val="center"/>
        </w:trPr>
        <w:tc>
          <w:tcPr>
            <w:tcW w:w="1696" w:type="dxa"/>
            <w:vAlign w:val="center"/>
          </w:tcPr>
          <w:p w14:paraId="2520E710" w14:textId="457EF712" w:rsidR="00A51969" w:rsidRPr="00A51969"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15:10–15:30</w:t>
            </w:r>
          </w:p>
        </w:tc>
        <w:tc>
          <w:tcPr>
            <w:tcW w:w="1701" w:type="dxa"/>
            <w:vAlign w:val="center"/>
          </w:tcPr>
          <w:p w14:paraId="7A4D2913" w14:textId="10448068"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69</w:t>
            </w:r>
          </w:p>
        </w:tc>
        <w:tc>
          <w:tcPr>
            <w:tcW w:w="6339" w:type="dxa"/>
            <w:vAlign w:val="center"/>
          </w:tcPr>
          <w:p w14:paraId="7D2DBD0D" w14:textId="03167124"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Resource-Efficient Edge AI for EMG-Based Bionic Prosthetic Hand Gesture Recognition Using a Lightweight CNN</w:t>
            </w:r>
          </w:p>
        </w:tc>
      </w:tr>
      <w:tr w:rsidR="00A51969" w:rsidRPr="00E84230" w14:paraId="0DABD743" w14:textId="77777777" w:rsidTr="00A51969">
        <w:trPr>
          <w:jc w:val="center"/>
        </w:trPr>
        <w:tc>
          <w:tcPr>
            <w:tcW w:w="1696" w:type="dxa"/>
            <w:vAlign w:val="center"/>
          </w:tcPr>
          <w:p w14:paraId="7E0046E1" w14:textId="54FBA141" w:rsidR="00A51969" w:rsidRPr="00A51969"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15:30–15:50</w:t>
            </w:r>
          </w:p>
        </w:tc>
        <w:tc>
          <w:tcPr>
            <w:tcW w:w="1701" w:type="dxa"/>
            <w:vAlign w:val="center"/>
          </w:tcPr>
          <w:p w14:paraId="6BAC20FE" w14:textId="6A794AFA"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74</w:t>
            </w:r>
          </w:p>
        </w:tc>
        <w:tc>
          <w:tcPr>
            <w:tcW w:w="6339" w:type="dxa"/>
            <w:vAlign w:val="center"/>
          </w:tcPr>
          <w:p w14:paraId="457AA8D5" w14:textId="53911C5F"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Breath Sound Spectral Analysis for Respitory Disease Detection</w:t>
            </w:r>
          </w:p>
        </w:tc>
      </w:tr>
      <w:tr w:rsidR="00A51969" w:rsidRPr="00E84230" w14:paraId="5B90CEB2" w14:textId="77777777" w:rsidTr="00A51969">
        <w:trPr>
          <w:jc w:val="center"/>
        </w:trPr>
        <w:tc>
          <w:tcPr>
            <w:tcW w:w="1696" w:type="dxa"/>
            <w:vAlign w:val="center"/>
          </w:tcPr>
          <w:p w14:paraId="64591CDC" w14:textId="6BDDAFCB" w:rsidR="00A51969" w:rsidRPr="00A51969"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lastRenderedPageBreak/>
              <w:t>15:50–16:10</w:t>
            </w:r>
          </w:p>
        </w:tc>
        <w:tc>
          <w:tcPr>
            <w:tcW w:w="1701" w:type="dxa"/>
            <w:vAlign w:val="center"/>
          </w:tcPr>
          <w:p w14:paraId="49B51750" w14:textId="1B1E1063"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78</w:t>
            </w:r>
          </w:p>
        </w:tc>
        <w:tc>
          <w:tcPr>
            <w:tcW w:w="6339" w:type="dxa"/>
            <w:vAlign w:val="center"/>
          </w:tcPr>
          <w:p w14:paraId="434C2769" w14:textId="7A997649" w:rsidR="00A51969" w:rsidRPr="00082253" w:rsidRDefault="00A51969" w:rsidP="00A51969">
            <w:pPr>
              <w:spacing w:after="0" w:line="240" w:lineRule="auto"/>
              <w:jc w:val="center"/>
              <w:rPr>
                <w:rFonts w:ascii="Arial" w:hAnsi="Arial" w:cs="Arial"/>
                <w:sz w:val="20"/>
                <w:szCs w:val="20"/>
                <w:lang w:val="en-US"/>
              </w:rPr>
            </w:pPr>
            <w:r w:rsidRPr="00082253">
              <w:rPr>
                <w:rFonts w:ascii="Arial" w:hAnsi="Arial" w:cs="Arial"/>
                <w:color w:val="000000"/>
                <w:sz w:val="20"/>
                <w:szCs w:val="20"/>
              </w:rPr>
              <w:t>Alzheimer's Classification Using Resnet50 Architecture with Ghost Weight Normalization</w:t>
            </w:r>
          </w:p>
        </w:tc>
      </w:tr>
      <w:tr w:rsidR="00A51969" w:rsidRPr="00E84230" w14:paraId="6543BC51" w14:textId="77777777" w:rsidTr="00A51969">
        <w:trPr>
          <w:jc w:val="center"/>
        </w:trPr>
        <w:tc>
          <w:tcPr>
            <w:tcW w:w="1696" w:type="dxa"/>
            <w:vAlign w:val="center"/>
          </w:tcPr>
          <w:p w14:paraId="61D5FBB7" w14:textId="543DAE83" w:rsidR="00A51969" w:rsidRPr="00A51969"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16:10–16:30</w:t>
            </w:r>
          </w:p>
        </w:tc>
        <w:tc>
          <w:tcPr>
            <w:tcW w:w="1701" w:type="dxa"/>
            <w:vAlign w:val="center"/>
          </w:tcPr>
          <w:p w14:paraId="69268F51" w14:textId="637CC00B" w:rsidR="00A51969" w:rsidRPr="00082253" w:rsidRDefault="00A51969" w:rsidP="00A51969">
            <w:pPr>
              <w:spacing w:after="0" w:line="240" w:lineRule="auto"/>
              <w:jc w:val="center"/>
              <w:rPr>
                <w:rFonts w:ascii="Arial" w:hAnsi="Arial" w:cs="Arial"/>
                <w:color w:val="000000"/>
                <w:sz w:val="20"/>
                <w:szCs w:val="20"/>
              </w:rPr>
            </w:pPr>
            <w:r w:rsidRPr="00FF23B8">
              <w:rPr>
                <w:rFonts w:ascii="Arial" w:hAnsi="Arial" w:cs="Arial"/>
                <w:color w:val="000000"/>
                <w:sz w:val="20"/>
                <w:szCs w:val="20"/>
              </w:rPr>
              <w:t>84</w:t>
            </w:r>
          </w:p>
        </w:tc>
        <w:tc>
          <w:tcPr>
            <w:tcW w:w="6339" w:type="dxa"/>
            <w:vAlign w:val="center"/>
          </w:tcPr>
          <w:p w14:paraId="07550F97" w14:textId="03FCBA52" w:rsidR="00A51969" w:rsidRPr="00082253" w:rsidRDefault="00A51969" w:rsidP="00A51969">
            <w:pPr>
              <w:spacing w:after="0" w:line="240" w:lineRule="auto"/>
              <w:jc w:val="center"/>
              <w:rPr>
                <w:rFonts w:ascii="Arial" w:hAnsi="Arial" w:cs="Arial"/>
                <w:color w:val="000000"/>
                <w:sz w:val="20"/>
                <w:szCs w:val="20"/>
              </w:rPr>
            </w:pPr>
            <w:r w:rsidRPr="00FF23B8">
              <w:rPr>
                <w:rFonts w:ascii="Arial" w:hAnsi="Arial" w:cs="Arial"/>
                <w:color w:val="000000"/>
                <w:sz w:val="20"/>
                <w:szCs w:val="20"/>
              </w:rPr>
              <w:t>REST vs. GraphQL for High-Frequency ECG Data Delivery: An Empirical Benchmark in Healthcare IoT</w:t>
            </w:r>
          </w:p>
        </w:tc>
      </w:tr>
    </w:tbl>
    <w:p w14:paraId="3D573105" w14:textId="77777777" w:rsidR="001868D7" w:rsidRDefault="001868D7" w:rsidP="00482EC4">
      <w:pPr>
        <w:spacing w:after="0" w:line="240" w:lineRule="auto"/>
        <w:rPr>
          <w:rFonts w:ascii="Arial" w:hAnsi="Arial" w:cs="Arial"/>
          <w:b/>
          <w:bCs/>
          <w:sz w:val="20"/>
          <w:szCs w:val="20"/>
          <w:lang w:val="en-US"/>
        </w:rPr>
      </w:pPr>
    </w:p>
    <w:p w14:paraId="0AC29477" w14:textId="77777777" w:rsidR="001868D7" w:rsidRDefault="001868D7" w:rsidP="00A51969">
      <w:pPr>
        <w:spacing w:after="0" w:line="240" w:lineRule="auto"/>
        <w:jc w:val="center"/>
        <w:rPr>
          <w:rFonts w:ascii="Arial" w:hAnsi="Arial" w:cs="Arial"/>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6339"/>
      </w:tblGrid>
      <w:tr w:rsidR="00810AC1" w:rsidRPr="00AE1338" w14:paraId="29898056" w14:textId="77777777" w:rsidTr="007C6E48">
        <w:trPr>
          <w:jc w:val="center"/>
        </w:trPr>
        <w:tc>
          <w:tcPr>
            <w:tcW w:w="0" w:type="auto"/>
            <w:gridSpan w:val="3"/>
            <w:vAlign w:val="center"/>
          </w:tcPr>
          <w:p w14:paraId="1A9A14E0" w14:textId="77777777" w:rsidR="00042C2F" w:rsidRPr="00AE1338" w:rsidRDefault="00042C2F" w:rsidP="00A51969">
            <w:pPr>
              <w:spacing w:after="0" w:line="240" w:lineRule="auto"/>
              <w:jc w:val="right"/>
              <w:rPr>
                <w:rFonts w:ascii="Arial" w:hAnsi="Arial" w:cs="Arial"/>
                <w:b/>
                <w:bCs/>
                <w:sz w:val="20"/>
                <w:szCs w:val="20"/>
                <w:lang w:val="en-US"/>
              </w:rPr>
            </w:pPr>
            <w:r>
              <w:rPr>
                <w:rFonts w:ascii="Arial" w:hAnsi="Arial" w:cs="Arial"/>
                <w:b/>
                <w:bCs/>
                <w:sz w:val="20"/>
                <w:szCs w:val="20"/>
                <w:lang w:val="en-US"/>
              </w:rPr>
              <w:t>19</w:t>
            </w:r>
            <w:r w:rsidRPr="00AE1338">
              <w:rPr>
                <w:rFonts w:ascii="Arial" w:hAnsi="Arial" w:cs="Arial"/>
                <w:b/>
                <w:bCs/>
                <w:sz w:val="20"/>
                <w:szCs w:val="20"/>
                <w:vertAlign w:val="superscript"/>
                <w:lang w:val="en-US"/>
              </w:rPr>
              <w:t>th</w:t>
            </w:r>
            <w:r w:rsidRPr="00AE1338">
              <w:rPr>
                <w:rFonts w:ascii="Arial" w:hAnsi="Arial" w:cs="Arial"/>
                <w:b/>
                <w:bCs/>
                <w:sz w:val="20"/>
                <w:szCs w:val="20"/>
                <w:lang w:val="en-US"/>
              </w:rPr>
              <w:t xml:space="preserve"> August 2025</w:t>
            </w:r>
          </w:p>
          <w:p w14:paraId="018D60CF" w14:textId="54AA2F46" w:rsidR="00810AC1" w:rsidRPr="00AE1338" w:rsidRDefault="00971246"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Parallel Session </w:t>
            </w:r>
            <w:r w:rsidR="0029157C">
              <w:rPr>
                <w:rFonts w:ascii="Arial" w:hAnsi="Arial" w:cs="Arial"/>
                <w:b/>
                <w:bCs/>
                <w:sz w:val="20"/>
                <w:szCs w:val="20"/>
                <w:lang w:val="en-US"/>
              </w:rPr>
              <w:t>B</w:t>
            </w:r>
          </w:p>
          <w:p w14:paraId="3097C74A" w14:textId="26CCFAB4" w:rsidR="00042C2F" w:rsidRPr="00AE1338" w:rsidRDefault="00042C2F"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Session Chair:</w:t>
            </w:r>
            <w:r>
              <w:rPr>
                <w:rFonts w:ascii="Arial" w:hAnsi="Arial" w:cs="Arial"/>
                <w:b/>
                <w:bCs/>
                <w:sz w:val="20"/>
                <w:szCs w:val="20"/>
                <w:lang w:val="en-US"/>
              </w:rPr>
              <w:t xml:space="preserve"> </w:t>
            </w:r>
            <w:r w:rsidR="00236A06">
              <w:rPr>
                <w:rFonts w:ascii="Arial" w:hAnsi="Arial" w:cs="Arial"/>
                <w:b/>
                <w:bCs/>
                <w:sz w:val="20"/>
                <w:szCs w:val="20"/>
                <w:lang w:val="en-US"/>
              </w:rPr>
              <w:t>Edita Rosana Widasari ST</w:t>
            </w:r>
            <w:r w:rsidR="00156DAC">
              <w:rPr>
                <w:rFonts w:ascii="Arial" w:hAnsi="Arial" w:cs="Arial"/>
                <w:b/>
                <w:bCs/>
                <w:sz w:val="20"/>
                <w:szCs w:val="20"/>
                <w:lang w:val="en-US"/>
              </w:rPr>
              <w:t xml:space="preserve">, MT, </w:t>
            </w:r>
            <w:r w:rsidR="00F751F7">
              <w:rPr>
                <w:rFonts w:ascii="Arial" w:hAnsi="Arial" w:cs="Arial"/>
                <w:b/>
                <w:bCs/>
                <w:sz w:val="20"/>
                <w:szCs w:val="20"/>
                <w:lang w:val="en-US"/>
              </w:rPr>
              <w:t>Ph. D</w:t>
            </w:r>
            <w:r w:rsidR="009727FD">
              <w:rPr>
                <w:rFonts w:ascii="Arial" w:hAnsi="Arial" w:cs="Arial"/>
                <w:b/>
                <w:bCs/>
                <w:sz w:val="20"/>
                <w:szCs w:val="20"/>
                <w:lang w:val="en-US"/>
              </w:rPr>
              <w:t>/Ir</w:t>
            </w:r>
            <w:r w:rsidR="00F751F7">
              <w:rPr>
                <w:rFonts w:ascii="Arial" w:hAnsi="Arial" w:cs="Arial"/>
                <w:b/>
                <w:bCs/>
                <w:sz w:val="20"/>
                <w:szCs w:val="20"/>
                <w:lang w:val="en-US"/>
              </w:rPr>
              <w:t>. Indriati ST. M. Kom</w:t>
            </w:r>
          </w:p>
          <w:p w14:paraId="2F4FF57D" w14:textId="32D0C307" w:rsidR="00810AC1" w:rsidRPr="00AE1338" w:rsidRDefault="00042C2F"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 xml:space="preserve">Location: </w:t>
            </w:r>
            <w:r w:rsidR="00C81802" w:rsidRPr="00C81802">
              <w:rPr>
                <w:rFonts w:ascii="Arial" w:hAnsi="Arial" w:cs="Arial"/>
                <w:b/>
                <w:bCs/>
                <w:sz w:val="20"/>
                <w:szCs w:val="20"/>
                <w:lang w:val="en-US"/>
              </w:rPr>
              <w:t>“Ötüken Conference Hall”</w:t>
            </w:r>
          </w:p>
        </w:tc>
      </w:tr>
      <w:tr w:rsidR="006614F8" w:rsidRPr="00AE1338" w14:paraId="3A55A58E" w14:textId="77777777" w:rsidTr="007C6E48">
        <w:trPr>
          <w:jc w:val="center"/>
        </w:trPr>
        <w:tc>
          <w:tcPr>
            <w:tcW w:w="1696" w:type="dxa"/>
            <w:vAlign w:val="center"/>
          </w:tcPr>
          <w:p w14:paraId="1B0D1CC1" w14:textId="77777777" w:rsidR="006614F8" w:rsidRPr="00AE1338" w:rsidRDefault="006614F8"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Time (Istanbul Turkiye)</w:t>
            </w:r>
          </w:p>
        </w:tc>
        <w:tc>
          <w:tcPr>
            <w:tcW w:w="1701" w:type="dxa"/>
            <w:vAlign w:val="center"/>
          </w:tcPr>
          <w:p w14:paraId="6114C81A" w14:textId="223D89D3" w:rsidR="006614F8" w:rsidRPr="00AE1338" w:rsidRDefault="006614F8"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Paper </w:t>
            </w:r>
            <w:r>
              <w:rPr>
                <w:rFonts w:ascii="Arial" w:hAnsi="Arial" w:cs="Arial"/>
                <w:b/>
                <w:bCs/>
                <w:sz w:val="20"/>
                <w:szCs w:val="20"/>
                <w:lang w:val="en-US"/>
              </w:rPr>
              <w:t>ID</w:t>
            </w:r>
          </w:p>
        </w:tc>
        <w:tc>
          <w:tcPr>
            <w:tcW w:w="6339" w:type="dxa"/>
            <w:vAlign w:val="center"/>
          </w:tcPr>
          <w:p w14:paraId="754D878A" w14:textId="186DC067" w:rsidR="006614F8" w:rsidRPr="00AE1338" w:rsidRDefault="006614F8"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Paper</w:t>
            </w:r>
            <w:r>
              <w:rPr>
                <w:rFonts w:ascii="Arial" w:hAnsi="Arial" w:cs="Arial"/>
                <w:b/>
                <w:bCs/>
                <w:sz w:val="20"/>
                <w:szCs w:val="20"/>
                <w:lang w:val="en-US"/>
              </w:rPr>
              <w:t xml:space="preserve"> Title</w:t>
            </w:r>
          </w:p>
        </w:tc>
      </w:tr>
      <w:tr w:rsidR="00A51969" w:rsidRPr="00AE1338" w14:paraId="511085B3" w14:textId="77777777" w:rsidTr="00FF23B8">
        <w:trPr>
          <w:jc w:val="center"/>
        </w:trPr>
        <w:tc>
          <w:tcPr>
            <w:tcW w:w="1696" w:type="dxa"/>
            <w:vAlign w:val="center"/>
          </w:tcPr>
          <w:p w14:paraId="02BD0C23" w14:textId="66EFABB3" w:rsidR="00A51969"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13:30–13:50</w:t>
            </w:r>
          </w:p>
        </w:tc>
        <w:tc>
          <w:tcPr>
            <w:tcW w:w="1701" w:type="dxa"/>
            <w:vAlign w:val="center"/>
          </w:tcPr>
          <w:p w14:paraId="29873C22" w14:textId="2F2549E1"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92</w:t>
            </w:r>
          </w:p>
        </w:tc>
        <w:tc>
          <w:tcPr>
            <w:tcW w:w="6339" w:type="dxa"/>
            <w:vAlign w:val="center"/>
          </w:tcPr>
          <w:p w14:paraId="441ABEA4" w14:textId="66BC1D91"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Operationalizing the AmbiTRUS framework in User Story Ambiguity Analysis</w:t>
            </w:r>
          </w:p>
        </w:tc>
      </w:tr>
      <w:tr w:rsidR="00A51969" w:rsidRPr="00AE1338" w14:paraId="04C5184E" w14:textId="77777777" w:rsidTr="00FF23B8">
        <w:trPr>
          <w:jc w:val="center"/>
        </w:trPr>
        <w:tc>
          <w:tcPr>
            <w:tcW w:w="1696" w:type="dxa"/>
            <w:vAlign w:val="center"/>
          </w:tcPr>
          <w:p w14:paraId="20FAC0AA" w14:textId="1EDF79D3" w:rsidR="00A51969" w:rsidRPr="00AE1338"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w:t>
            </w:r>
            <w:r w:rsidR="00482EC4">
              <w:rPr>
                <w:rFonts w:ascii="Arial" w:hAnsi="Arial" w:cs="Arial"/>
                <w:b/>
                <w:bCs/>
                <w:sz w:val="20"/>
                <w:szCs w:val="20"/>
              </w:rPr>
              <w:t>3</w:t>
            </w:r>
            <w:r w:rsidRPr="00A51969">
              <w:rPr>
                <w:rFonts w:ascii="Arial" w:hAnsi="Arial" w:cs="Arial"/>
                <w:b/>
                <w:bCs/>
                <w:sz w:val="20"/>
                <w:szCs w:val="20"/>
              </w:rPr>
              <w:t>:</w:t>
            </w:r>
            <w:r w:rsidR="00482EC4">
              <w:rPr>
                <w:rFonts w:ascii="Arial" w:hAnsi="Arial" w:cs="Arial"/>
                <w:b/>
                <w:bCs/>
                <w:sz w:val="20"/>
                <w:szCs w:val="20"/>
              </w:rPr>
              <w:t>50</w:t>
            </w:r>
            <w:r w:rsidRPr="00A51969">
              <w:rPr>
                <w:rFonts w:ascii="Arial" w:hAnsi="Arial" w:cs="Arial"/>
                <w:b/>
                <w:bCs/>
                <w:sz w:val="20"/>
                <w:szCs w:val="20"/>
              </w:rPr>
              <w:t>–14:</w:t>
            </w:r>
            <w:r w:rsidR="00482EC4">
              <w:rPr>
                <w:rFonts w:ascii="Arial" w:hAnsi="Arial" w:cs="Arial"/>
                <w:b/>
                <w:bCs/>
                <w:sz w:val="20"/>
                <w:szCs w:val="20"/>
              </w:rPr>
              <w:t>10</w:t>
            </w:r>
          </w:p>
        </w:tc>
        <w:tc>
          <w:tcPr>
            <w:tcW w:w="1701" w:type="dxa"/>
            <w:vAlign w:val="center"/>
          </w:tcPr>
          <w:p w14:paraId="4EBDF5ED" w14:textId="7BF4A29F"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157</w:t>
            </w:r>
          </w:p>
        </w:tc>
        <w:tc>
          <w:tcPr>
            <w:tcW w:w="6339" w:type="dxa"/>
            <w:vAlign w:val="center"/>
          </w:tcPr>
          <w:p w14:paraId="68905977" w14:textId="730FAEDC"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The Summary Trap: AI-Generated News Summaries, Context Compression, and Public Trust in Intelligent Information Systems</w:t>
            </w:r>
          </w:p>
        </w:tc>
      </w:tr>
      <w:tr w:rsidR="00A51969" w:rsidRPr="00AE1338" w14:paraId="02B30507" w14:textId="77777777" w:rsidTr="00FF23B8">
        <w:trPr>
          <w:jc w:val="center"/>
        </w:trPr>
        <w:tc>
          <w:tcPr>
            <w:tcW w:w="1696" w:type="dxa"/>
            <w:vAlign w:val="center"/>
          </w:tcPr>
          <w:p w14:paraId="1842154C" w14:textId="62A19962" w:rsidR="00A51969" w:rsidRPr="00AE1338"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14:</w:t>
            </w:r>
            <w:r w:rsidR="00482EC4">
              <w:rPr>
                <w:rFonts w:ascii="Arial" w:hAnsi="Arial" w:cs="Arial"/>
                <w:b/>
                <w:bCs/>
                <w:sz w:val="20"/>
                <w:szCs w:val="20"/>
              </w:rPr>
              <w:t>10</w:t>
            </w:r>
            <w:r w:rsidRPr="00A51969">
              <w:rPr>
                <w:rFonts w:ascii="Arial" w:hAnsi="Arial" w:cs="Arial"/>
                <w:b/>
                <w:bCs/>
                <w:sz w:val="20"/>
                <w:szCs w:val="20"/>
              </w:rPr>
              <w:t>–14:</w:t>
            </w:r>
            <w:r w:rsidR="00482EC4">
              <w:rPr>
                <w:rFonts w:ascii="Arial" w:hAnsi="Arial" w:cs="Arial"/>
                <w:b/>
                <w:bCs/>
                <w:sz w:val="20"/>
                <w:szCs w:val="20"/>
              </w:rPr>
              <w:t>30</w:t>
            </w:r>
          </w:p>
        </w:tc>
        <w:tc>
          <w:tcPr>
            <w:tcW w:w="1701" w:type="dxa"/>
            <w:vAlign w:val="center"/>
          </w:tcPr>
          <w:p w14:paraId="3A37B77D" w14:textId="3BB42CED"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167</w:t>
            </w:r>
          </w:p>
        </w:tc>
        <w:tc>
          <w:tcPr>
            <w:tcW w:w="6339" w:type="dxa"/>
            <w:vAlign w:val="center"/>
          </w:tcPr>
          <w:p w14:paraId="0686F6B4" w14:textId="0A2C5572"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Mobile Application for Coordinating Informal Collaboration in Collective Qur’an Recitation Completion Practices</w:t>
            </w:r>
          </w:p>
        </w:tc>
      </w:tr>
      <w:tr w:rsidR="00A51969" w:rsidRPr="00AE1338" w14:paraId="77105987" w14:textId="77777777" w:rsidTr="00FF23B8">
        <w:trPr>
          <w:jc w:val="center"/>
        </w:trPr>
        <w:tc>
          <w:tcPr>
            <w:tcW w:w="1696" w:type="dxa"/>
            <w:vAlign w:val="center"/>
          </w:tcPr>
          <w:p w14:paraId="28D48269" w14:textId="32B2D06A" w:rsidR="00A51969" w:rsidRPr="00AE1338"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14:</w:t>
            </w:r>
            <w:r w:rsidR="00482EC4">
              <w:rPr>
                <w:rFonts w:ascii="Arial" w:hAnsi="Arial" w:cs="Arial"/>
                <w:b/>
                <w:bCs/>
                <w:sz w:val="20"/>
                <w:szCs w:val="20"/>
              </w:rPr>
              <w:t>3</w:t>
            </w:r>
            <w:r w:rsidRPr="00A51969">
              <w:rPr>
                <w:rFonts w:ascii="Arial" w:hAnsi="Arial" w:cs="Arial"/>
                <w:b/>
                <w:bCs/>
                <w:sz w:val="20"/>
                <w:szCs w:val="20"/>
              </w:rPr>
              <w:t>0–1</w:t>
            </w:r>
            <w:r w:rsidR="00482EC4">
              <w:rPr>
                <w:rFonts w:ascii="Arial" w:hAnsi="Arial" w:cs="Arial"/>
                <w:b/>
                <w:bCs/>
                <w:sz w:val="20"/>
                <w:szCs w:val="20"/>
              </w:rPr>
              <w:t>4</w:t>
            </w:r>
            <w:r w:rsidRPr="00A51969">
              <w:rPr>
                <w:rFonts w:ascii="Arial" w:hAnsi="Arial" w:cs="Arial"/>
                <w:b/>
                <w:bCs/>
                <w:sz w:val="20"/>
                <w:szCs w:val="20"/>
              </w:rPr>
              <w:t>:</w:t>
            </w:r>
            <w:r w:rsidR="00482EC4">
              <w:rPr>
                <w:rFonts w:ascii="Arial" w:hAnsi="Arial" w:cs="Arial"/>
                <w:b/>
                <w:bCs/>
                <w:sz w:val="20"/>
                <w:szCs w:val="20"/>
              </w:rPr>
              <w:t>50</w:t>
            </w:r>
          </w:p>
        </w:tc>
        <w:tc>
          <w:tcPr>
            <w:tcW w:w="1701" w:type="dxa"/>
            <w:vAlign w:val="center"/>
          </w:tcPr>
          <w:p w14:paraId="7B9BB7B5" w14:textId="61D6A59E"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170</w:t>
            </w:r>
          </w:p>
        </w:tc>
        <w:tc>
          <w:tcPr>
            <w:tcW w:w="6339" w:type="dxa"/>
            <w:vAlign w:val="center"/>
          </w:tcPr>
          <w:p w14:paraId="1FE38920" w14:textId="029C88E0"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Integrating ESG Metrics into Financial Performance Prediction Models for Islamic Banks Using Random Forest</w:t>
            </w:r>
          </w:p>
        </w:tc>
      </w:tr>
      <w:tr w:rsidR="00A51969" w:rsidRPr="00AE1338" w14:paraId="47F2F975" w14:textId="77777777" w:rsidTr="00FF23B8">
        <w:trPr>
          <w:jc w:val="center"/>
        </w:trPr>
        <w:tc>
          <w:tcPr>
            <w:tcW w:w="1696" w:type="dxa"/>
            <w:vAlign w:val="center"/>
          </w:tcPr>
          <w:p w14:paraId="49478621" w14:textId="21D16CA8" w:rsidR="00A51969" w:rsidRPr="00AE1338"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w:t>
            </w:r>
            <w:r w:rsidR="00482EC4">
              <w:rPr>
                <w:rFonts w:ascii="Arial" w:hAnsi="Arial" w:cs="Arial"/>
                <w:b/>
                <w:bCs/>
                <w:sz w:val="20"/>
                <w:szCs w:val="20"/>
              </w:rPr>
              <w:t>4</w:t>
            </w:r>
            <w:r w:rsidRPr="00A51969">
              <w:rPr>
                <w:rFonts w:ascii="Arial" w:hAnsi="Arial" w:cs="Arial"/>
                <w:b/>
                <w:bCs/>
                <w:sz w:val="20"/>
                <w:szCs w:val="20"/>
              </w:rPr>
              <w:t>:</w:t>
            </w:r>
            <w:r w:rsidR="00482EC4">
              <w:rPr>
                <w:rFonts w:ascii="Arial" w:hAnsi="Arial" w:cs="Arial"/>
                <w:b/>
                <w:bCs/>
                <w:sz w:val="20"/>
                <w:szCs w:val="20"/>
              </w:rPr>
              <w:t>5</w:t>
            </w:r>
            <w:r w:rsidRPr="00A51969">
              <w:rPr>
                <w:rFonts w:ascii="Arial" w:hAnsi="Arial" w:cs="Arial"/>
                <w:b/>
                <w:bCs/>
                <w:sz w:val="20"/>
                <w:szCs w:val="20"/>
              </w:rPr>
              <w:t>0–15:</w:t>
            </w:r>
            <w:r w:rsidR="00482EC4">
              <w:rPr>
                <w:rFonts w:ascii="Arial" w:hAnsi="Arial" w:cs="Arial"/>
                <w:b/>
                <w:bCs/>
                <w:sz w:val="20"/>
                <w:szCs w:val="20"/>
              </w:rPr>
              <w:t>10</w:t>
            </w:r>
          </w:p>
        </w:tc>
        <w:tc>
          <w:tcPr>
            <w:tcW w:w="1701" w:type="dxa"/>
            <w:vAlign w:val="center"/>
          </w:tcPr>
          <w:p w14:paraId="57F18404" w14:textId="4A3BB11F"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196</w:t>
            </w:r>
          </w:p>
        </w:tc>
        <w:tc>
          <w:tcPr>
            <w:tcW w:w="6339" w:type="dxa"/>
            <w:vAlign w:val="center"/>
          </w:tcPr>
          <w:p w14:paraId="67627A19" w14:textId="6F06D17F"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Impacts of AI on Socioeconomic Sustainability</w:t>
            </w:r>
          </w:p>
        </w:tc>
      </w:tr>
      <w:tr w:rsidR="00A51969" w:rsidRPr="00AE1338" w14:paraId="138E42F5" w14:textId="77777777" w:rsidTr="00FF23B8">
        <w:trPr>
          <w:jc w:val="center"/>
        </w:trPr>
        <w:tc>
          <w:tcPr>
            <w:tcW w:w="1696" w:type="dxa"/>
            <w:vAlign w:val="center"/>
          </w:tcPr>
          <w:p w14:paraId="4F58D851" w14:textId="1BBBCAB3" w:rsidR="00A51969" w:rsidRPr="00AE1338"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15:</w:t>
            </w:r>
            <w:r w:rsidR="00482EC4">
              <w:rPr>
                <w:rFonts w:ascii="Arial" w:hAnsi="Arial" w:cs="Arial"/>
                <w:b/>
                <w:bCs/>
                <w:sz w:val="20"/>
                <w:szCs w:val="20"/>
              </w:rPr>
              <w:t>10</w:t>
            </w:r>
            <w:r w:rsidRPr="00A51969">
              <w:rPr>
                <w:rFonts w:ascii="Arial" w:hAnsi="Arial" w:cs="Arial"/>
                <w:b/>
                <w:bCs/>
                <w:sz w:val="20"/>
                <w:szCs w:val="20"/>
              </w:rPr>
              <w:t>–15:</w:t>
            </w:r>
            <w:r w:rsidR="00482EC4">
              <w:rPr>
                <w:rFonts w:ascii="Arial" w:hAnsi="Arial" w:cs="Arial"/>
                <w:b/>
                <w:bCs/>
                <w:sz w:val="20"/>
                <w:szCs w:val="20"/>
              </w:rPr>
              <w:t>30</w:t>
            </w:r>
          </w:p>
        </w:tc>
        <w:tc>
          <w:tcPr>
            <w:tcW w:w="1701" w:type="dxa"/>
            <w:vAlign w:val="center"/>
          </w:tcPr>
          <w:p w14:paraId="1E6F7AF6" w14:textId="739FE0CE"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202</w:t>
            </w:r>
          </w:p>
        </w:tc>
        <w:tc>
          <w:tcPr>
            <w:tcW w:w="6339" w:type="dxa"/>
            <w:vAlign w:val="center"/>
          </w:tcPr>
          <w:p w14:paraId="35CCF98C" w14:textId="57803FC9"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Reviewing Publications on The Use of Artificial Intelligence in Cost Accounting Systems Using WOSviewer</w:t>
            </w:r>
          </w:p>
        </w:tc>
      </w:tr>
      <w:tr w:rsidR="00A51969" w:rsidRPr="00AE1338" w14:paraId="5A79C7A0" w14:textId="77777777" w:rsidTr="00FF23B8">
        <w:trPr>
          <w:jc w:val="center"/>
        </w:trPr>
        <w:tc>
          <w:tcPr>
            <w:tcW w:w="1696" w:type="dxa"/>
            <w:vAlign w:val="center"/>
          </w:tcPr>
          <w:p w14:paraId="53AB7556" w14:textId="4CEC46C4" w:rsidR="00A51969" w:rsidRPr="00AE1338"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15:</w:t>
            </w:r>
            <w:r w:rsidR="00482EC4">
              <w:rPr>
                <w:rFonts w:ascii="Arial" w:hAnsi="Arial" w:cs="Arial"/>
                <w:b/>
                <w:bCs/>
                <w:sz w:val="20"/>
                <w:szCs w:val="20"/>
              </w:rPr>
              <w:t>30</w:t>
            </w:r>
            <w:r w:rsidRPr="00A51969">
              <w:rPr>
                <w:rFonts w:ascii="Arial" w:hAnsi="Arial" w:cs="Arial"/>
                <w:b/>
                <w:bCs/>
                <w:sz w:val="20"/>
                <w:szCs w:val="20"/>
              </w:rPr>
              <w:t>–1</w:t>
            </w:r>
            <w:r w:rsidR="00482EC4">
              <w:rPr>
                <w:rFonts w:ascii="Arial" w:hAnsi="Arial" w:cs="Arial"/>
                <w:b/>
                <w:bCs/>
                <w:sz w:val="20"/>
                <w:szCs w:val="20"/>
              </w:rPr>
              <w:t>5</w:t>
            </w:r>
            <w:r w:rsidRPr="00A51969">
              <w:rPr>
                <w:rFonts w:ascii="Arial" w:hAnsi="Arial" w:cs="Arial"/>
                <w:b/>
                <w:bCs/>
                <w:sz w:val="20"/>
                <w:szCs w:val="20"/>
              </w:rPr>
              <w:t>:</w:t>
            </w:r>
            <w:r w:rsidR="00482EC4">
              <w:rPr>
                <w:rFonts w:ascii="Arial" w:hAnsi="Arial" w:cs="Arial"/>
                <w:b/>
                <w:bCs/>
                <w:sz w:val="20"/>
                <w:szCs w:val="20"/>
              </w:rPr>
              <w:t>50</w:t>
            </w:r>
          </w:p>
        </w:tc>
        <w:tc>
          <w:tcPr>
            <w:tcW w:w="1701" w:type="dxa"/>
            <w:vAlign w:val="center"/>
          </w:tcPr>
          <w:p w14:paraId="73C15741" w14:textId="6E1BF315"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203</w:t>
            </w:r>
          </w:p>
        </w:tc>
        <w:tc>
          <w:tcPr>
            <w:tcW w:w="6339" w:type="dxa"/>
            <w:vAlign w:val="center"/>
          </w:tcPr>
          <w:p w14:paraId="5B3D51D9" w14:textId="41497081" w:rsidR="00A51969" w:rsidRPr="00FF23B8" w:rsidRDefault="00A51969" w:rsidP="00A51969">
            <w:pPr>
              <w:spacing w:after="0" w:line="240" w:lineRule="auto"/>
              <w:jc w:val="center"/>
              <w:rPr>
                <w:rFonts w:ascii="Arial" w:hAnsi="Arial" w:cs="Arial"/>
                <w:sz w:val="20"/>
                <w:szCs w:val="20"/>
                <w:lang w:val="en-US"/>
              </w:rPr>
            </w:pPr>
            <w:r w:rsidRPr="00FF23B8">
              <w:rPr>
                <w:rFonts w:ascii="Arial" w:hAnsi="Arial" w:cs="Arial"/>
                <w:color w:val="000000"/>
                <w:sz w:val="20"/>
                <w:szCs w:val="20"/>
              </w:rPr>
              <w:t>A Comparative Study of BERTopic and Top2Vec for As-pect-Based Sentiment Analysis on Public Opinion To-ward Indonesia’s New Capital City Development</w:t>
            </w:r>
          </w:p>
        </w:tc>
      </w:tr>
      <w:tr w:rsidR="00A51969" w:rsidRPr="00AE1338" w14:paraId="55591B85" w14:textId="77777777" w:rsidTr="00EC4C78">
        <w:trPr>
          <w:jc w:val="center"/>
        </w:trPr>
        <w:tc>
          <w:tcPr>
            <w:tcW w:w="1696" w:type="dxa"/>
            <w:vAlign w:val="center"/>
          </w:tcPr>
          <w:p w14:paraId="7EECB02F" w14:textId="07FBDCB3" w:rsidR="00A51969" w:rsidRPr="00AE1338" w:rsidRDefault="00A51969" w:rsidP="00A51969">
            <w:pPr>
              <w:spacing w:after="0" w:line="240" w:lineRule="auto"/>
              <w:jc w:val="center"/>
              <w:rPr>
                <w:rFonts w:ascii="Arial" w:hAnsi="Arial" w:cs="Arial"/>
                <w:b/>
                <w:bCs/>
                <w:sz w:val="20"/>
                <w:szCs w:val="20"/>
                <w:lang w:val="en-US"/>
              </w:rPr>
            </w:pPr>
            <w:r w:rsidRPr="00A51969">
              <w:rPr>
                <w:rFonts w:ascii="Arial" w:hAnsi="Arial" w:cs="Arial"/>
                <w:b/>
                <w:bCs/>
                <w:sz w:val="20"/>
                <w:szCs w:val="20"/>
              </w:rPr>
              <w:t>1</w:t>
            </w:r>
            <w:r w:rsidR="00482EC4">
              <w:rPr>
                <w:rFonts w:ascii="Arial" w:hAnsi="Arial" w:cs="Arial"/>
                <w:b/>
                <w:bCs/>
                <w:sz w:val="20"/>
                <w:szCs w:val="20"/>
              </w:rPr>
              <w:t>5</w:t>
            </w:r>
            <w:r w:rsidRPr="00A51969">
              <w:rPr>
                <w:rFonts w:ascii="Arial" w:hAnsi="Arial" w:cs="Arial"/>
                <w:b/>
                <w:bCs/>
                <w:sz w:val="20"/>
                <w:szCs w:val="20"/>
              </w:rPr>
              <w:t>:</w:t>
            </w:r>
            <w:r w:rsidR="00482EC4">
              <w:rPr>
                <w:rFonts w:ascii="Arial" w:hAnsi="Arial" w:cs="Arial"/>
                <w:b/>
                <w:bCs/>
                <w:sz w:val="20"/>
                <w:szCs w:val="20"/>
              </w:rPr>
              <w:t>50</w:t>
            </w:r>
            <w:r w:rsidRPr="00A51969">
              <w:rPr>
                <w:rFonts w:ascii="Arial" w:hAnsi="Arial" w:cs="Arial"/>
                <w:b/>
                <w:bCs/>
                <w:sz w:val="20"/>
                <w:szCs w:val="20"/>
              </w:rPr>
              <w:t>–16:</w:t>
            </w:r>
            <w:r w:rsidR="00482EC4">
              <w:rPr>
                <w:rFonts w:ascii="Arial" w:hAnsi="Arial" w:cs="Arial"/>
                <w:b/>
                <w:bCs/>
                <w:sz w:val="20"/>
                <w:szCs w:val="20"/>
              </w:rPr>
              <w:t>10</w:t>
            </w:r>
          </w:p>
        </w:tc>
        <w:tc>
          <w:tcPr>
            <w:tcW w:w="1701" w:type="dxa"/>
            <w:vAlign w:val="center"/>
          </w:tcPr>
          <w:p w14:paraId="592FF7D4" w14:textId="23BACD60" w:rsidR="00A51969" w:rsidRPr="00FF23B8" w:rsidRDefault="00A51969" w:rsidP="00A51969">
            <w:pPr>
              <w:spacing w:after="0" w:line="240" w:lineRule="auto"/>
              <w:jc w:val="center"/>
              <w:rPr>
                <w:rFonts w:ascii="Arial" w:hAnsi="Arial" w:cs="Arial"/>
                <w:color w:val="000000"/>
                <w:sz w:val="20"/>
                <w:szCs w:val="20"/>
              </w:rPr>
            </w:pPr>
            <w:r>
              <w:rPr>
                <w:rFonts w:ascii="Arial" w:hAnsi="Arial" w:cs="Arial"/>
                <w:color w:val="000000"/>
                <w:sz w:val="20"/>
                <w:szCs w:val="20"/>
              </w:rPr>
              <w:t>204</w:t>
            </w:r>
          </w:p>
        </w:tc>
        <w:tc>
          <w:tcPr>
            <w:tcW w:w="6339" w:type="dxa"/>
            <w:vAlign w:val="center"/>
          </w:tcPr>
          <w:p w14:paraId="20436A7E" w14:textId="5065AAEC" w:rsidR="00A51969" w:rsidRPr="00FF23B8" w:rsidRDefault="00A51969" w:rsidP="00A51969">
            <w:pPr>
              <w:spacing w:after="0" w:line="240" w:lineRule="auto"/>
              <w:jc w:val="center"/>
              <w:rPr>
                <w:rFonts w:ascii="Arial" w:hAnsi="Arial" w:cs="Arial"/>
                <w:color w:val="000000"/>
                <w:sz w:val="20"/>
                <w:szCs w:val="20"/>
              </w:rPr>
            </w:pPr>
            <w:r>
              <w:rPr>
                <w:rFonts w:ascii="Arial" w:hAnsi="Arial" w:cs="Arial"/>
                <w:color w:val="000000"/>
                <w:sz w:val="20"/>
                <w:szCs w:val="20"/>
              </w:rPr>
              <w:t>AI Literacy and the Digital Divide: A Multi-Layered Synthesis and Future Research Agenda</w:t>
            </w:r>
          </w:p>
        </w:tc>
      </w:tr>
      <w:tr w:rsidR="006B64FC" w:rsidRPr="00AE1338" w14:paraId="3255BB5D" w14:textId="77777777" w:rsidTr="00EC4C78">
        <w:trPr>
          <w:jc w:val="center"/>
        </w:trPr>
        <w:tc>
          <w:tcPr>
            <w:tcW w:w="1696" w:type="dxa"/>
            <w:vAlign w:val="center"/>
          </w:tcPr>
          <w:p w14:paraId="2A594859" w14:textId="2390321E" w:rsidR="006B64FC" w:rsidRPr="00A51969" w:rsidRDefault="006B64FC" w:rsidP="00A51969">
            <w:pPr>
              <w:spacing w:after="0" w:line="240" w:lineRule="auto"/>
              <w:jc w:val="center"/>
              <w:rPr>
                <w:rFonts w:ascii="Arial" w:hAnsi="Arial" w:cs="Arial"/>
                <w:b/>
                <w:bCs/>
                <w:sz w:val="20"/>
                <w:szCs w:val="20"/>
              </w:rPr>
            </w:pPr>
            <w:r w:rsidRPr="00A51969">
              <w:rPr>
                <w:rFonts w:ascii="Arial" w:hAnsi="Arial" w:cs="Arial"/>
                <w:b/>
                <w:bCs/>
                <w:sz w:val="20"/>
                <w:szCs w:val="20"/>
              </w:rPr>
              <w:t>16:</w:t>
            </w:r>
            <w:r w:rsidR="00482EC4">
              <w:rPr>
                <w:rFonts w:ascii="Arial" w:hAnsi="Arial" w:cs="Arial"/>
                <w:b/>
                <w:bCs/>
                <w:sz w:val="20"/>
                <w:szCs w:val="20"/>
              </w:rPr>
              <w:t>1</w:t>
            </w:r>
            <w:r w:rsidRPr="00A51969">
              <w:rPr>
                <w:rFonts w:ascii="Arial" w:hAnsi="Arial" w:cs="Arial"/>
                <w:b/>
                <w:bCs/>
                <w:sz w:val="20"/>
                <w:szCs w:val="20"/>
              </w:rPr>
              <w:t>0–16:</w:t>
            </w:r>
            <w:r w:rsidR="00482EC4">
              <w:rPr>
                <w:rFonts w:ascii="Arial" w:hAnsi="Arial" w:cs="Arial"/>
                <w:b/>
                <w:bCs/>
                <w:sz w:val="20"/>
                <w:szCs w:val="20"/>
              </w:rPr>
              <w:t>3</w:t>
            </w:r>
            <w:r w:rsidRPr="00A51969">
              <w:rPr>
                <w:rFonts w:ascii="Arial" w:hAnsi="Arial" w:cs="Arial"/>
                <w:b/>
                <w:bCs/>
                <w:sz w:val="20"/>
                <w:szCs w:val="20"/>
              </w:rPr>
              <w:t>0</w:t>
            </w:r>
          </w:p>
        </w:tc>
        <w:tc>
          <w:tcPr>
            <w:tcW w:w="1701" w:type="dxa"/>
            <w:vAlign w:val="center"/>
          </w:tcPr>
          <w:p w14:paraId="3E393E2C" w14:textId="0C7E3535" w:rsidR="006B64FC" w:rsidRDefault="006B64FC" w:rsidP="00A51969">
            <w:pPr>
              <w:spacing w:after="0" w:line="240" w:lineRule="auto"/>
              <w:jc w:val="center"/>
              <w:rPr>
                <w:rFonts w:ascii="Arial" w:hAnsi="Arial" w:cs="Arial"/>
                <w:color w:val="000000"/>
                <w:sz w:val="20"/>
                <w:szCs w:val="20"/>
              </w:rPr>
            </w:pPr>
            <w:r>
              <w:rPr>
                <w:rFonts w:ascii="Arial" w:hAnsi="Arial" w:cs="Arial"/>
                <w:color w:val="000000"/>
                <w:sz w:val="20"/>
                <w:szCs w:val="20"/>
              </w:rPr>
              <w:t>198</w:t>
            </w:r>
          </w:p>
        </w:tc>
        <w:tc>
          <w:tcPr>
            <w:tcW w:w="6339" w:type="dxa"/>
            <w:vAlign w:val="center"/>
          </w:tcPr>
          <w:p w14:paraId="3512EE89" w14:textId="05F8D798" w:rsidR="006B64FC" w:rsidRDefault="006B64FC" w:rsidP="00A51969">
            <w:pPr>
              <w:spacing w:after="0" w:line="240" w:lineRule="auto"/>
              <w:jc w:val="center"/>
              <w:rPr>
                <w:rFonts w:ascii="Arial" w:hAnsi="Arial" w:cs="Arial"/>
                <w:color w:val="000000"/>
                <w:sz w:val="20"/>
                <w:szCs w:val="20"/>
              </w:rPr>
            </w:pPr>
            <w:r w:rsidRPr="006B64FC">
              <w:rPr>
                <w:rFonts w:ascii="Arial" w:hAnsi="Arial" w:cs="Arial"/>
                <w:color w:val="000000"/>
                <w:sz w:val="20"/>
                <w:szCs w:val="20"/>
              </w:rPr>
              <w:t>Software Testing AI Agents for Test Process Efficiency</w:t>
            </w:r>
          </w:p>
        </w:tc>
      </w:tr>
      <w:tr w:rsidR="00FD3B66" w:rsidRPr="00AE1338" w14:paraId="5CF20F16" w14:textId="77777777" w:rsidTr="00EC4C78">
        <w:trPr>
          <w:jc w:val="center"/>
        </w:trPr>
        <w:tc>
          <w:tcPr>
            <w:tcW w:w="1696" w:type="dxa"/>
            <w:vAlign w:val="center"/>
          </w:tcPr>
          <w:p w14:paraId="6D56A799" w14:textId="16544BC6" w:rsidR="00FD3B66" w:rsidRPr="00A51969" w:rsidRDefault="00FD3B66" w:rsidP="00A51969">
            <w:pPr>
              <w:spacing w:after="0" w:line="240" w:lineRule="auto"/>
              <w:jc w:val="center"/>
              <w:rPr>
                <w:rFonts w:ascii="Arial" w:hAnsi="Arial" w:cs="Arial"/>
                <w:b/>
                <w:bCs/>
                <w:sz w:val="20"/>
                <w:szCs w:val="20"/>
              </w:rPr>
            </w:pPr>
            <w:r>
              <w:rPr>
                <w:rFonts w:ascii="Arial" w:hAnsi="Arial" w:cs="Arial"/>
                <w:b/>
                <w:bCs/>
                <w:sz w:val="20"/>
                <w:szCs w:val="20"/>
              </w:rPr>
              <w:t>16</w:t>
            </w:r>
            <w:r w:rsidR="006E7E87">
              <w:rPr>
                <w:rFonts w:ascii="Arial" w:hAnsi="Arial" w:cs="Arial"/>
                <w:b/>
                <w:bCs/>
                <w:sz w:val="20"/>
                <w:szCs w:val="20"/>
              </w:rPr>
              <w:t>:</w:t>
            </w:r>
            <w:r w:rsidR="00482EC4">
              <w:rPr>
                <w:rFonts w:ascii="Arial" w:hAnsi="Arial" w:cs="Arial"/>
                <w:b/>
                <w:bCs/>
                <w:sz w:val="20"/>
                <w:szCs w:val="20"/>
              </w:rPr>
              <w:t>30</w:t>
            </w:r>
            <w:r w:rsidR="006E7E87">
              <w:rPr>
                <w:rFonts w:ascii="Arial" w:hAnsi="Arial" w:cs="Arial"/>
                <w:b/>
                <w:bCs/>
                <w:sz w:val="20"/>
                <w:szCs w:val="20"/>
              </w:rPr>
              <w:t>-1</w:t>
            </w:r>
            <w:r w:rsidR="00482EC4">
              <w:rPr>
                <w:rFonts w:ascii="Arial" w:hAnsi="Arial" w:cs="Arial"/>
                <w:b/>
                <w:bCs/>
                <w:sz w:val="20"/>
                <w:szCs w:val="20"/>
              </w:rPr>
              <w:t>6</w:t>
            </w:r>
            <w:r w:rsidR="006E7E87">
              <w:rPr>
                <w:rFonts w:ascii="Arial" w:hAnsi="Arial" w:cs="Arial"/>
                <w:b/>
                <w:bCs/>
                <w:sz w:val="20"/>
                <w:szCs w:val="20"/>
              </w:rPr>
              <w:t>:</w:t>
            </w:r>
            <w:r w:rsidR="00482EC4">
              <w:rPr>
                <w:rFonts w:ascii="Arial" w:hAnsi="Arial" w:cs="Arial"/>
                <w:b/>
                <w:bCs/>
                <w:sz w:val="20"/>
                <w:szCs w:val="20"/>
              </w:rPr>
              <w:t>50</w:t>
            </w:r>
          </w:p>
        </w:tc>
        <w:tc>
          <w:tcPr>
            <w:tcW w:w="1701" w:type="dxa"/>
            <w:vAlign w:val="center"/>
          </w:tcPr>
          <w:p w14:paraId="30687C3D" w14:textId="3B6557ED" w:rsidR="00FD3B66" w:rsidRDefault="00FD3B66" w:rsidP="00A51969">
            <w:pPr>
              <w:spacing w:after="0" w:line="240" w:lineRule="auto"/>
              <w:jc w:val="center"/>
              <w:rPr>
                <w:rFonts w:ascii="Arial" w:hAnsi="Arial" w:cs="Arial"/>
                <w:color w:val="000000"/>
                <w:sz w:val="20"/>
                <w:szCs w:val="20"/>
              </w:rPr>
            </w:pPr>
            <w:r>
              <w:rPr>
                <w:rFonts w:ascii="Arial" w:hAnsi="Arial" w:cs="Arial"/>
                <w:color w:val="000000"/>
                <w:sz w:val="20"/>
                <w:szCs w:val="20"/>
              </w:rPr>
              <w:t>164</w:t>
            </w:r>
          </w:p>
        </w:tc>
        <w:tc>
          <w:tcPr>
            <w:tcW w:w="6339" w:type="dxa"/>
            <w:vAlign w:val="center"/>
          </w:tcPr>
          <w:p w14:paraId="3372FA1E" w14:textId="6937C1D8" w:rsidR="00FD3B66" w:rsidRPr="006B64FC" w:rsidRDefault="00FD3B66" w:rsidP="00A51969">
            <w:pPr>
              <w:spacing w:after="0" w:line="240" w:lineRule="auto"/>
              <w:jc w:val="center"/>
              <w:rPr>
                <w:rFonts w:ascii="Arial" w:hAnsi="Arial" w:cs="Arial"/>
                <w:color w:val="000000"/>
                <w:sz w:val="20"/>
                <w:szCs w:val="20"/>
              </w:rPr>
            </w:pPr>
            <w:r w:rsidRPr="00FD3B66">
              <w:rPr>
                <w:rFonts w:ascii="Arial" w:hAnsi="Arial" w:cs="Arial"/>
                <w:color w:val="000000"/>
                <w:sz w:val="20"/>
                <w:szCs w:val="20"/>
              </w:rPr>
              <w:t>Beyond fragmented models: proposal for a systemic model of the digital transformation of higher education</w:t>
            </w:r>
          </w:p>
        </w:tc>
      </w:tr>
    </w:tbl>
    <w:p w14:paraId="0F638680" w14:textId="77777777" w:rsidR="00810AC1" w:rsidRDefault="00810AC1" w:rsidP="00A51969">
      <w:pPr>
        <w:spacing w:after="0" w:line="240" w:lineRule="auto"/>
        <w:rPr>
          <w:rFonts w:ascii="Arial" w:hAnsi="Arial" w:cs="Arial"/>
          <w:b/>
          <w:bCs/>
          <w:sz w:val="20"/>
          <w:szCs w:val="20"/>
          <w:lang w:val="en-US"/>
        </w:rPr>
      </w:pPr>
    </w:p>
    <w:p w14:paraId="5056B026" w14:textId="77777777" w:rsidR="001868D7" w:rsidRDefault="001868D7" w:rsidP="00A51969">
      <w:pPr>
        <w:spacing w:after="0" w:line="240" w:lineRule="auto"/>
        <w:rPr>
          <w:rFonts w:ascii="Arial" w:hAnsi="Arial" w:cs="Arial"/>
          <w:b/>
          <w:bCs/>
          <w:sz w:val="20"/>
          <w:szCs w:val="20"/>
          <w:lang w:val="en-US"/>
        </w:rPr>
      </w:pPr>
    </w:p>
    <w:p w14:paraId="13301FE5" w14:textId="77777777" w:rsidR="001868D7" w:rsidRDefault="001868D7" w:rsidP="00A51969">
      <w:pPr>
        <w:spacing w:after="0" w:line="240" w:lineRule="auto"/>
        <w:rPr>
          <w:rFonts w:ascii="Arial" w:hAnsi="Arial" w:cs="Arial"/>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6339"/>
      </w:tblGrid>
      <w:tr w:rsidR="00D569C1" w:rsidRPr="00AE1338" w14:paraId="79A505AC" w14:textId="77777777" w:rsidTr="007C6E48">
        <w:trPr>
          <w:jc w:val="center"/>
        </w:trPr>
        <w:tc>
          <w:tcPr>
            <w:tcW w:w="0" w:type="auto"/>
            <w:gridSpan w:val="3"/>
            <w:vAlign w:val="center"/>
          </w:tcPr>
          <w:p w14:paraId="62F7F2AB" w14:textId="77777777" w:rsidR="00C81E16" w:rsidRPr="00AE1338" w:rsidRDefault="00C81E16" w:rsidP="00A51969">
            <w:pPr>
              <w:spacing w:after="0" w:line="240" w:lineRule="auto"/>
              <w:jc w:val="right"/>
              <w:rPr>
                <w:rFonts w:ascii="Arial" w:hAnsi="Arial" w:cs="Arial"/>
                <w:b/>
                <w:bCs/>
                <w:sz w:val="20"/>
                <w:szCs w:val="20"/>
                <w:lang w:val="en-US"/>
              </w:rPr>
            </w:pPr>
            <w:r>
              <w:rPr>
                <w:rFonts w:ascii="Arial" w:hAnsi="Arial" w:cs="Arial"/>
                <w:b/>
                <w:bCs/>
                <w:sz w:val="20"/>
                <w:szCs w:val="20"/>
                <w:lang w:val="en-US"/>
              </w:rPr>
              <w:t>20</w:t>
            </w:r>
            <w:r w:rsidRPr="00AE1338">
              <w:rPr>
                <w:rFonts w:ascii="Arial" w:hAnsi="Arial" w:cs="Arial"/>
                <w:b/>
                <w:bCs/>
                <w:sz w:val="20"/>
                <w:szCs w:val="20"/>
                <w:vertAlign w:val="superscript"/>
                <w:lang w:val="en-US"/>
              </w:rPr>
              <w:t>th</w:t>
            </w:r>
            <w:r w:rsidRPr="00AE1338">
              <w:rPr>
                <w:rFonts w:ascii="Arial" w:hAnsi="Arial" w:cs="Arial"/>
                <w:b/>
                <w:bCs/>
                <w:sz w:val="20"/>
                <w:szCs w:val="20"/>
                <w:lang w:val="en-US"/>
              </w:rPr>
              <w:t xml:space="preserve"> August 2025</w:t>
            </w:r>
          </w:p>
          <w:p w14:paraId="6E1F11E4" w14:textId="1CBE9D59" w:rsidR="00D569C1" w:rsidRPr="00AE1338" w:rsidRDefault="00971246"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Parallel Session </w:t>
            </w:r>
            <w:r w:rsidR="00D569C1">
              <w:rPr>
                <w:rFonts w:ascii="Arial" w:hAnsi="Arial" w:cs="Arial"/>
                <w:b/>
                <w:bCs/>
                <w:sz w:val="20"/>
                <w:szCs w:val="20"/>
                <w:lang w:val="en-US"/>
              </w:rPr>
              <w:t>C</w:t>
            </w:r>
          </w:p>
          <w:p w14:paraId="10C2875D" w14:textId="5DCCB617" w:rsidR="00F953AF" w:rsidRPr="00F953AF" w:rsidRDefault="00D569C1" w:rsidP="00F953AF">
            <w:pPr>
              <w:spacing w:after="0" w:line="240" w:lineRule="auto"/>
              <w:rPr>
                <w:rFonts w:ascii="Arial" w:hAnsi="Arial" w:cs="Arial"/>
                <w:b/>
                <w:bCs/>
                <w:sz w:val="20"/>
                <w:szCs w:val="20"/>
                <w:lang w:val="en-US"/>
              </w:rPr>
            </w:pPr>
            <w:r w:rsidRPr="00AE1338">
              <w:rPr>
                <w:rFonts w:ascii="Arial" w:hAnsi="Arial" w:cs="Arial"/>
                <w:b/>
                <w:bCs/>
                <w:sz w:val="20"/>
                <w:szCs w:val="20"/>
                <w:lang w:val="en-US"/>
              </w:rPr>
              <w:t>Session Chair:</w:t>
            </w:r>
            <w:r>
              <w:rPr>
                <w:rFonts w:ascii="Arial" w:hAnsi="Arial" w:cs="Arial"/>
                <w:b/>
                <w:bCs/>
                <w:sz w:val="20"/>
                <w:szCs w:val="20"/>
                <w:lang w:val="en-US"/>
              </w:rPr>
              <w:t xml:space="preserve"> </w:t>
            </w:r>
            <w:r w:rsidR="00F953AF" w:rsidRPr="00F953AF">
              <w:rPr>
                <w:rFonts w:ascii="Arial" w:hAnsi="Arial" w:cs="Arial"/>
                <w:b/>
                <w:bCs/>
                <w:sz w:val="20"/>
                <w:szCs w:val="20"/>
                <w:lang w:val="en-US"/>
              </w:rPr>
              <w:t xml:space="preserve">Naser Jawas, S.T., </w:t>
            </w:r>
            <w:proofErr w:type="gramStart"/>
            <w:r w:rsidR="00F953AF" w:rsidRPr="00F953AF">
              <w:rPr>
                <w:rFonts w:ascii="Arial" w:hAnsi="Arial" w:cs="Arial"/>
                <w:b/>
                <w:bCs/>
                <w:sz w:val="20"/>
                <w:szCs w:val="20"/>
                <w:lang w:val="en-US"/>
              </w:rPr>
              <w:t>M.Kom</w:t>
            </w:r>
            <w:proofErr w:type="gramEnd"/>
            <w:r w:rsidR="00F953AF" w:rsidRPr="00F953AF">
              <w:rPr>
                <w:rFonts w:ascii="Arial" w:hAnsi="Arial" w:cs="Arial"/>
                <w:b/>
                <w:bCs/>
                <w:sz w:val="20"/>
                <w:szCs w:val="20"/>
                <w:lang w:val="en-US"/>
              </w:rPr>
              <w:t>., Ph.D.</w:t>
            </w:r>
          </w:p>
          <w:p w14:paraId="0F02CDFC" w14:textId="66FF61FE" w:rsidR="00D569C1" w:rsidRPr="00AE1338" w:rsidRDefault="00D569C1" w:rsidP="001868D7">
            <w:pPr>
              <w:spacing w:after="0" w:line="240" w:lineRule="auto"/>
              <w:rPr>
                <w:rFonts w:ascii="Arial" w:hAnsi="Arial" w:cs="Arial"/>
                <w:b/>
                <w:bCs/>
                <w:sz w:val="20"/>
                <w:szCs w:val="20"/>
                <w:lang w:val="en-US"/>
              </w:rPr>
            </w:pPr>
            <w:r w:rsidRPr="00AE1338">
              <w:rPr>
                <w:rFonts w:ascii="Arial" w:hAnsi="Arial" w:cs="Arial"/>
                <w:b/>
                <w:bCs/>
                <w:sz w:val="20"/>
                <w:szCs w:val="20"/>
                <w:lang w:val="en-US"/>
              </w:rPr>
              <w:t xml:space="preserve">Location: </w:t>
            </w:r>
            <w:r>
              <w:rPr>
                <w:rFonts w:ascii="Arial" w:hAnsi="Arial" w:cs="Arial"/>
                <w:b/>
                <w:bCs/>
                <w:sz w:val="20"/>
                <w:szCs w:val="20"/>
                <w:lang w:val="en-US"/>
              </w:rPr>
              <w:t xml:space="preserve">Online </w:t>
            </w:r>
          </w:p>
        </w:tc>
      </w:tr>
      <w:tr w:rsidR="004B65CC" w:rsidRPr="00AE1338" w14:paraId="4A283920" w14:textId="77777777" w:rsidTr="007C6E48">
        <w:trPr>
          <w:jc w:val="center"/>
        </w:trPr>
        <w:tc>
          <w:tcPr>
            <w:tcW w:w="1696" w:type="dxa"/>
            <w:vAlign w:val="center"/>
          </w:tcPr>
          <w:p w14:paraId="4AD7A27A" w14:textId="77777777" w:rsidR="004B65CC" w:rsidRPr="00AE1338" w:rsidRDefault="004B65C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Time (Istanbul Turkiye)</w:t>
            </w:r>
          </w:p>
        </w:tc>
        <w:tc>
          <w:tcPr>
            <w:tcW w:w="1701" w:type="dxa"/>
            <w:vAlign w:val="center"/>
          </w:tcPr>
          <w:p w14:paraId="4D80FA10" w14:textId="133A9155"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Paper </w:t>
            </w:r>
            <w:r>
              <w:rPr>
                <w:rFonts w:ascii="Arial" w:hAnsi="Arial" w:cs="Arial"/>
                <w:b/>
                <w:bCs/>
                <w:sz w:val="20"/>
                <w:szCs w:val="20"/>
                <w:lang w:val="en-US"/>
              </w:rPr>
              <w:t>ID</w:t>
            </w:r>
          </w:p>
        </w:tc>
        <w:tc>
          <w:tcPr>
            <w:tcW w:w="6339" w:type="dxa"/>
            <w:vAlign w:val="center"/>
          </w:tcPr>
          <w:p w14:paraId="6806062F" w14:textId="3D7FCF10"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Paper</w:t>
            </w:r>
            <w:r>
              <w:rPr>
                <w:rFonts w:ascii="Arial" w:hAnsi="Arial" w:cs="Arial"/>
                <w:b/>
                <w:bCs/>
                <w:sz w:val="20"/>
                <w:szCs w:val="20"/>
                <w:lang w:val="en-US"/>
              </w:rPr>
              <w:t xml:space="preserve"> Title</w:t>
            </w:r>
          </w:p>
        </w:tc>
      </w:tr>
      <w:tr w:rsidR="004066FB" w:rsidRPr="00AE1338" w14:paraId="4154F3ED" w14:textId="77777777" w:rsidTr="004066FB">
        <w:trPr>
          <w:jc w:val="center"/>
        </w:trPr>
        <w:tc>
          <w:tcPr>
            <w:tcW w:w="1696" w:type="dxa"/>
            <w:vAlign w:val="center"/>
          </w:tcPr>
          <w:p w14:paraId="04246ABA" w14:textId="2D77A489" w:rsidR="004066FB" w:rsidRP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09:00–09:20</w:t>
            </w:r>
          </w:p>
        </w:tc>
        <w:tc>
          <w:tcPr>
            <w:tcW w:w="1701" w:type="dxa"/>
            <w:vAlign w:val="center"/>
          </w:tcPr>
          <w:p w14:paraId="041F1CD8" w14:textId="6C1B8DAE"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5</w:t>
            </w:r>
          </w:p>
        </w:tc>
        <w:tc>
          <w:tcPr>
            <w:tcW w:w="6339" w:type="dxa"/>
            <w:vAlign w:val="center"/>
          </w:tcPr>
          <w:p w14:paraId="38A23195" w14:textId="78173D93"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Designing a Blockchain-Based System to Enhance Security in Indonesia's Halal Certification Process</w:t>
            </w:r>
          </w:p>
        </w:tc>
      </w:tr>
      <w:tr w:rsidR="004066FB" w:rsidRPr="00AE1338" w14:paraId="53A2C66D" w14:textId="77777777" w:rsidTr="004066FB">
        <w:trPr>
          <w:jc w:val="center"/>
        </w:trPr>
        <w:tc>
          <w:tcPr>
            <w:tcW w:w="1696" w:type="dxa"/>
            <w:vAlign w:val="center"/>
          </w:tcPr>
          <w:p w14:paraId="731E99EB" w14:textId="4B978B66" w:rsidR="004066FB" w:rsidRP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09:20–09:40</w:t>
            </w:r>
          </w:p>
        </w:tc>
        <w:tc>
          <w:tcPr>
            <w:tcW w:w="1701" w:type="dxa"/>
            <w:vAlign w:val="center"/>
          </w:tcPr>
          <w:p w14:paraId="7803CFDE" w14:textId="2EA229DD"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8</w:t>
            </w:r>
          </w:p>
        </w:tc>
        <w:tc>
          <w:tcPr>
            <w:tcW w:w="6339" w:type="dxa"/>
            <w:vAlign w:val="center"/>
          </w:tcPr>
          <w:p w14:paraId="454A6F75" w14:textId="1E2CC7B2"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The Impact of Digital Transformation in Accounting</w:t>
            </w:r>
          </w:p>
        </w:tc>
      </w:tr>
      <w:tr w:rsidR="004066FB" w:rsidRPr="00AE1338" w14:paraId="5D6093AC" w14:textId="77777777" w:rsidTr="004066FB">
        <w:trPr>
          <w:jc w:val="center"/>
        </w:trPr>
        <w:tc>
          <w:tcPr>
            <w:tcW w:w="1696" w:type="dxa"/>
            <w:vAlign w:val="center"/>
          </w:tcPr>
          <w:p w14:paraId="26A32528" w14:textId="11E0A1F0" w:rsidR="004066FB" w:rsidRP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09:40–10:00</w:t>
            </w:r>
          </w:p>
        </w:tc>
        <w:tc>
          <w:tcPr>
            <w:tcW w:w="1701" w:type="dxa"/>
            <w:vAlign w:val="center"/>
          </w:tcPr>
          <w:p w14:paraId="5BD5360A" w14:textId="36F5CB49"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12</w:t>
            </w:r>
          </w:p>
        </w:tc>
        <w:tc>
          <w:tcPr>
            <w:tcW w:w="6339" w:type="dxa"/>
            <w:vAlign w:val="center"/>
          </w:tcPr>
          <w:p w14:paraId="1D86F48D" w14:textId="0E847E46"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A Study of User Motivations and Loyalty Patterns in Digital Music Streaming Landscape</w:t>
            </w:r>
          </w:p>
        </w:tc>
      </w:tr>
      <w:tr w:rsidR="004066FB" w:rsidRPr="00AE1338" w14:paraId="36B5BAAD" w14:textId="77777777" w:rsidTr="004066FB">
        <w:trPr>
          <w:jc w:val="center"/>
        </w:trPr>
        <w:tc>
          <w:tcPr>
            <w:tcW w:w="1696" w:type="dxa"/>
            <w:vAlign w:val="center"/>
          </w:tcPr>
          <w:p w14:paraId="5D0E0E24" w14:textId="329C49D4" w:rsidR="004066FB" w:rsidRP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10:00–10:20</w:t>
            </w:r>
          </w:p>
        </w:tc>
        <w:tc>
          <w:tcPr>
            <w:tcW w:w="1701" w:type="dxa"/>
            <w:vAlign w:val="center"/>
          </w:tcPr>
          <w:p w14:paraId="7F41610D" w14:textId="0BECF33D"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13</w:t>
            </w:r>
          </w:p>
        </w:tc>
        <w:tc>
          <w:tcPr>
            <w:tcW w:w="6339" w:type="dxa"/>
            <w:vAlign w:val="center"/>
          </w:tcPr>
          <w:p w14:paraId="0A353819" w14:textId="1C3C1A4B"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Building Repurchase Intention Through Customer Satisfaction and Customer Engagement Using Influencers in Digital Marketing</w:t>
            </w:r>
          </w:p>
        </w:tc>
      </w:tr>
      <w:tr w:rsidR="004066FB" w:rsidRPr="00AE1338" w14:paraId="736EBC16" w14:textId="77777777" w:rsidTr="004066FB">
        <w:trPr>
          <w:jc w:val="center"/>
        </w:trPr>
        <w:tc>
          <w:tcPr>
            <w:tcW w:w="1696" w:type="dxa"/>
            <w:vAlign w:val="center"/>
          </w:tcPr>
          <w:p w14:paraId="74C73D09" w14:textId="3006D382" w:rsidR="004066FB" w:rsidRP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10:20–10:40</w:t>
            </w:r>
          </w:p>
        </w:tc>
        <w:tc>
          <w:tcPr>
            <w:tcW w:w="1701" w:type="dxa"/>
            <w:vAlign w:val="center"/>
          </w:tcPr>
          <w:p w14:paraId="1A7D7955" w14:textId="48C96C63"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18</w:t>
            </w:r>
          </w:p>
        </w:tc>
        <w:tc>
          <w:tcPr>
            <w:tcW w:w="6339" w:type="dxa"/>
            <w:vAlign w:val="center"/>
          </w:tcPr>
          <w:p w14:paraId="5AA47D7B" w14:textId="724FF431"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Factors Influencing the Use of Accounting Information Systems in Indonesian SMEs</w:t>
            </w:r>
          </w:p>
        </w:tc>
      </w:tr>
      <w:tr w:rsidR="004066FB" w:rsidRPr="00AE1338" w14:paraId="7FC00FF5" w14:textId="77777777" w:rsidTr="004066FB">
        <w:trPr>
          <w:jc w:val="center"/>
        </w:trPr>
        <w:tc>
          <w:tcPr>
            <w:tcW w:w="1696" w:type="dxa"/>
            <w:vAlign w:val="center"/>
          </w:tcPr>
          <w:p w14:paraId="7A32811D" w14:textId="6B1F516B" w:rsidR="004066FB" w:rsidRP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10:40–11:00</w:t>
            </w:r>
          </w:p>
        </w:tc>
        <w:tc>
          <w:tcPr>
            <w:tcW w:w="1701" w:type="dxa"/>
            <w:vAlign w:val="center"/>
          </w:tcPr>
          <w:p w14:paraId="7E902FBD" w14:textId="00580107"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19</w:t>
            </w:r>
          </w:p>
        </w:tc>
        <w:tc>
          <w:tcPr>
            <w:tcW w:w="6339" w:type="dxa"/>
            <w:vAlign w:val="center"/>
          </w:tcPr>
          <w:p w14:paraId="7C846FC0" w14:textId="4B2C1B5F"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Evaluating the Success of e-Office Implementation in Ogan Komering Ilir Regency Using the DeLone and McLean Model</w:t>
            </w:r>
          </w:p>
        </w:tc>
      </w:tr>
      <w:tr w:rsidR="004066FB" w:rsidRPr="00AE1338" w14:paraId="04E09FB8" w14:textId="77777777" w:rsidTr="004066FB">
        <w:trPr>
          <w:jc w:val="center"/>
        </w:trPr>
        <w:tc>
          <w:tcPr>
            <w:tcW w:w="1696" w:type="dxa"/>
            <w:vAlign w:val="center"/>
          </w:tcPr>
          <w:p w14:paraId="063129E9" w14:textId="6C8691F5" w:rsidR="004066FB" w:rsidRP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11:00–11:20</w:t>
            </w:r>
          </w:p>
        </w:tc>
        <w:tc>
          <w:tcPr>
            <w:tcW w:w="1701" w:type="dxa"/>
            <w:vAlign w:val="center"/>
          </w:tcPr>
          <w:p w14:paraId="27218585" w14:textId="7622DD55"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26</w:t>
            </w:r>
          </w:p>
        </w:tc>
        <w:tc>
          <w:tcPr>
            <w:tcW w:w="6339" w:type="dxa"/>
            <w:vAlign w:val="center"/>
          </w:tcPr>
          <w:p w14:paraId="4C0C09CB" w14:textId="3291FB98"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Public Sentiment Analysis Towards the Performance of the Indonesia National Police on X</w:t>
            </w:r>
          </w:p>
        </w:tc>
      </w:tr>
      <w:tr w:rsidR="004066FB" w:rsidRPr="00AE1338" w14:paraId="6E550B37" w14:textId="77777777" w:rsidTr="004066FB">
        <w:trPr>
          <w:jc w:val="center"/>
        </w:trPr>
        <w:tc>
          <w:tcPr>
            <w:tcW w:w="1696" w:type="dxa"/>
            <w:vAlign w:val="center"/>
          </w:tcPr>
          <w:p w14:paraId="385C09B2" w14:textId="1A763D44" w:rsidR="004066FB" w:rsidRP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11:20–11:40</w:t>
            </w:r>
          </w:p>
        </w:tc>
        <w:tc>
          <w:tcPr>
            <w:tcW w:w="1701" w:type="dxa"/>
            <w:vAlign w:val="center"/>
          </w:tcPr>
          <w:p w14:paraId="3DECBFD1" w14:textId="256DB77C"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27</w:t>
            </w:r>
          </w:p>
        </w:tc>
        <w:tc>
          <w:tcPr>
            <w:tcW w:w="6339" w:type="dxa"/>
            <w:vAlign w:val="center"/>
          </w:tcPr>
          <w:p w14:paraId="3E8779B6" w14:textId="7D24CB89"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Factors Driving Continuance Intention to Use AI Chatbots by Student in Indonesia</w:t>
            </w:r>
          </w:p>
        </w:tc>
      </w:tr>
      <w:tr w:rsidR="004066FB" w:rsidRPr="00AE1338" w14:paraId="22AB9FC0" w14:textId="77777777" w:rsidTr="004066FB">
        <w:trPr>
          <w:jc w:val="center"/>
        </w:trPr>
        <w:tc>
          <w:tcPr>
            <w:tcW w:w="1696" w:type="dxa"/>
            <w:vAlign w:val="center"/>
          </w:tcPr>
          <w:p w14:paraId="4F9C1D7D" w14:textId="6E8E4A33" w:rsidR="004066FB" w:rsidRP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11:40–12:00</w:t>
            </w:r>
          </w:p>
        </w:tc>
        <w:tc>
          <w:tcPr>
            <w:tcW w:w="1701" w:type="dxa"/>
            <w:vAlign w:val="center"/>
          </w:tcPr>
          <w:p w14:paraId="33241C74" w14:textId="07A14F84"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32</w:t>
            </w:r>
          </w:p>
        </w:tc>
        <w:tc>
          <w:tcPr>
            <w:tcW w:w="6339" w:type="dxa"/>
            <w:vAlign w:val="center"/>
          </w:tcPr>
          <w:p w14:paraId="0B645207" w14:textId="52744176"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Adoption of Artificial Intelligence in Financial Record-Keeping: A Study on Small Enterprise in Indonesia</w:t>
            </w:r>
          </w:p>
        </w:tc>
      </w:tr>
      <w:tr w:rsidR="004066FB" w:rsidRPr="00AE1338" w14:paraId="303BF8CA" w14:textId="77777777" w:rsidTr="004066FB">
        <w:trPr>
          <w:jc w:val="center"/>
        </w:trPr>
        <w:tc>
          <w:tcPr>
            <w:tcW w:w="1696" w:type="dxa"/>
            <w:vAlign w:val="center"/>
          </w:tcPr>
          <w:p w14:paraId="2D1C4DFC" w14:textId="5DA12660" w:rsidR="004066FB" w:rsidRP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lastRenderedPageBreak/>
              <w:t>1</w:t>
            </w:r>
            <w:r>
              <w:rPr>
                <w:rFonts w:ascii="Arial" w:hAnsi="Arial" w:cs="Arial"/>
                <w:b/>
                <w:bCs/>
                <w:color w:val="000000"/>
                <w:sz w:val="20"/>
                <w:szCs w:val="20"/>
              </w:rPr>
              <w:t>2</w:t>
            </w:r>
            <w:r w:rsidRPr="004066FB">
              <w:rPr>
                <w:rFonts w:ascii="Arial" w:hAnsi="Arial" w:cs="Arial"/>
                <w:b/>
                <w:bCs/>
                <w:color w:val="000000"/>
                <w:sz w:val="20"/>
                <w:szCs w:val="20"/>
              </w:rPr>
              <w:t>:00–1</w:t>
            </w:r>
            <w:r>
              <w:rPr>
                <w:rFonts w:ascii="Arial" w:hAnsi="Arial" w:cs="Arial"/>
                <w:b/>
                <w:bCs/>
                <w:color w:val="000000"/>
                <w:sz w:val="20"/>
                <w:szCs w:val="20"/>
              </w:rPr>
              <w:t>2</w:t>
            </w:r>
            <w:r w:rsidRPr="004066FB">
              <w:rPr>
                <w:rFonts w:ascii="Arial" w:hAnsi="Arial" w:cs="Arial"/>
                <w:b/>
                <w:bCs/>
                <w:color w:val="000000"/>
                <w:sz w:val="20"/>
                <w:szCs w:val="20"/>
              </w:rPr>
              <w:t>:20</w:t>
            </w:r>
          </w:p>
        </w:tc>
        <w:tc>
          <w:tcPr>
            <w:tcW w:w="1701" w:type="dxa"/>
            <w:vAlign w:val="center"/>
          </w:tcPr>
          <w:p w14:paraId="31E89018" w14:textId="510022C9"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34</w:t>
            </w:r>
          </w:p>
        </w:tc>
        <w:tc>
          <w:tcPr>
            <w:tcW w:w="6339" w:type="dxa"/>
            <w:vAlign w:val="center"/>
          </w:tcPr>
          <w:p w14:paraId="41ECB080" w14:textId="0D434779" w:rsidR="004066FB" w:rsidRPr="006511E1" w:rsidRDefault="004066FB" w:rsidP="004066FB">
            <w:pPr>
              <w:spacing w:after="0" w:line="240" w:lineRule="auto"/>
              <w:jc w:val="center"/>
              <w:rPr>
                <w:rFonts w:ascii="Arial" w:hAnsi="Arial" w:cs="Arial"/>
                <w:sz w:val="20"/>
                <w:szCs w:val="20"/>
                <w:lang w:val="en-US"/>
              </w:rPr>
            </w:pPr>
            <w:r w:rsidRPr="006511E1">
              <w:rPr>
                <w:rFonts w:ascii="Arial" w:hAnsi="Arial" w:cs="Arial"/>
                <w:color w:val="000000"/>
                <w:sz w:val="20"/>
                <w:szCs w:val="20"/>
              </w:rPr>
              <w:t>Measuring the Impact of Indonesian Public Fiscal Sentiment on Inflation and Exchange Rates: A Study using IndoBERT and OLS Regression</w:t>
            </w:r>
          </w:p>
        </w:tc>
      </w:tr>
      <w:tr w:rsidR="00322FB3" w:rsidRPr="00AE1338" w14:paraId="7D577FAB" w14:textId="77777777" w:rsidTr="004066FB">
        <w:trPr>
          <w:jc w:val="center"/>
        </w:trPr>
        <w:tc>
          <w:tcPr>
            <w:tcW w:w="1696" w:type="dxa"/>
            <w:vAlign w:val="center"/>
          </w:tcPr>
          <w:p w14:paraId="1C641236" w14:textId="76C54E5E" w:rsidR="00322FB3" w:rsidRPr="004066FB" w:rsidRDefault="00A83802" w:rsidP="004066FB">
            <w:pPr>
              <w:spacing w:after="0" w:line="240" w:lineRule="auto"/>
              <w:jc w:val="center"/>
              <w:rPr>
                <w:rFonts w:ascii="Arial" w:hAnsi="Arial" w:cs="Arial"/>
                <w:b/>
                <w:bCs/>
                <w:color w:val="000000"/>
                <w:sz w:val="20"/>
                <w:szCs w:val="20"/>
              </w:rPr>
            </w:pPr>
            <w:r>
              <w:rPr>
                <w:rFonts w:ascii="Arial" w:hAnsi="Arial" w:cs="Arial"/>
                <w:b/>
                <w:bCs/>
                <w:color w:val="000000"/>
                <w:sz w:val="20"/>
                <w:szCs w:val="20"/>
              </w:rPr>
              <w:t>12:20-</w:t>
            </w:r>
            <w:r w:rsidR="00D91CCC">
              <w:rPr>
                <w:rFonts w:ascii="Arial" w:hAnsi="Arial" w:cs="Arial"/>
                <w:b/>
                <w:bCs/>
                <w:color w:val="000000"/>
                <w:sz w:val="20"/>
                <w:szCs w:val="20"/>
              </w:rPr>
              <w:t>12:40</w:t>
            </w:r>
          </w:p>
        </w:tc>
        <w:tc>
          <w:tcPr>
            <w:tcW w:w="1701" w:type="dxa"/>
            <w:vAlign w:val="center"/>
          </w:tcPr>
          <w:p w14:paraId="461B73F7" w14:textId="5321455A" w:rsidR="00322FB3" w:rsidRPr="006511E1" w:rsidRDefault="00A83802" w:rsidP="004066FB">
            <w:pPr>
              <w:spacing w:after="0" w:line="240" w:lineRule="auto"/>
              <w:jc w:val="center"/>
              <w:rPr>
                <w:rFonts w:ascii="Arial" w:hAnsi="Arial" w:cs="Arial"/>
                <w:color w:val="000000"/>
                <w:sz w:val="20"/>
                <w:szCs w:val="20"/>
              </w:rPr>
            </w:pPr>
            <w:r>
              <w:rPr>
                <w:rFonts w:ascii="Arial" w:hAnsi="Arial" w:cs="Arial"/>
                <w:color w:val="000000"/>
                <w:sz w:val="20"/>
                <w:szCs w:val="20"/>
              </w:rPr>
              <w:t>6</w:t>
            </w:r>
          </w:p>
        </w:tc>
        <w:tc>
          <w:tcPr>
            <w:tcW w:w="6339" w:type="dxa"/>
            <w:vAlign w:val="center"/>
          </w:tcPr>
          <w:p w14:paraId="263C961C" w14:textId="1CE8E19C" w:rsidR="00322FB3" w:rsidRPr="006511E1" w:rsidRDefault="00322FB3" w:rsidP="00A83802">
            <w:pPr>
              <w:spacing w:after="0" w:line="240" w:lineRule="auto"/>
              <w:jc w:val="center"/>
              <w:rPr>
                <w:rFonts w:ascii="Arial" w:hAnsi="Arial" w:cs="Arial"/>
                <w:color w:val="000000"/>
                <w:sz w:val="20"/>
                <w:szCs w:val="20"/>
              </w:rPr>
            </w:pPr>
            <w:r w:rsidRPr="00322FB3">
              <w:rPr>
                <w:rFonts w:ascii="Arial" w:hAnsi="Arial" w:cs="Arial"/>
                <w:color w:val="000000"/>
                <w:sz w:val="20"/>
                <w:szCs w:val="20"/>
              </w:rPr>
              <w:t>Cross-National Comparison of Mediation Models on Academic Dishonesty: The Role of Rationalisation and Spirituality in Indonesia and Malaysia</w:t>
            </w:r>
          </w:p>
        </w:tc>
      </w:tr>
      <w:tr w:rsidR="00482EC4" w:rsidRPr="00AE1338" w14:paraId="1908D9E8" w14:textId="77777777" w:rsidTr="004066FB">
        <w:trPr>
          <w:jc w:val="center"/>
        </w:trPr>
        <w:tc>
          <w:tcPr>
            <w:tcW w:w="1696" w:type="dxa"/>
            <w:vAlign w:val="center"/>
          </w:tcPr>
          <w:p w14:paraId="2A059C8D" w14:textId="3D37A42D" w:rsidR="00482EC4" w:rsidRDefault="00482EC4" w:rsidP="004066FB">
            <w:pPr>
              <w:spacing w:after="0" w:line="240" w:lineRule="auto"/>
              <w:jc w:val="center"/>
              <w:rPr>
                <w:rFonts w:ascii="Arial" w:hAnsi="Arial" w:cs="Arial"/>
                <w:b/>
                <w:bCs/>
                <w:color w:val="000000"/>
                <w:sz w:val="20"/>
                <w:szCs w:val="20"/>
              </w:rPr>
            </w:pPr>
            <w:r>
              <w:rPr>
                <w:rFonts w:ascii="Arial" w:hAnsi="Arial" w:cs="Arial"/>
                <w:b/>
                <w:bCs/>
                <w:color w:val="000000"/>
                <w:sz w:val="20"/>
                <w:szCs w:val="20"/>
              </w:rPr>
              <w:t>12:40-13.00</w:t>
            </w:r>
          </w:p>
        </w:tc>
        <w:tc>
          <w:tcPr>
            <w:tcW w:w="1701" w:type="dxa"/>
            <w:vAlign w:val="center"/>
          </w:tcPr>
          <w:p w14:paraId="3453A351" w14:textId="4F2C0C0A" w:rsidR="00482EC4" w:rsidRDefault="00A95F91" w:rsidP="004066FB">
            <w:pPr>
              <w:spacing w:after="0" w:line="240" w:lineRule="auto"/>
              <w:jc w:val="center"/>
              <w:rPr>
                <w:rFonts w:ascii="Arial" w:hAnsi="Arial" w:cs="Arial"/>
                <w:color w:val="000000"/>
                <w:sz w:val="20"/>
                <w:szCs w:val="20"/>
              </w:rPr>
            </w:pPr>
            <w:r>
              <w:rPr>
                <w:rFonts w:ascii="Arial" w:hAnsi="Arial" w:cs="Arial"/>
                <w:color w:val="000000"/>
                <w:sz w:val="20"/>
                <w:szCs w:val="20"/>
              </w:rPr>
              <w:t>163</w:t>
            </w:r>
          </w:p>
        </w:tc>
        <w:tc>
          <w:tcPr>
            <w:tcW w:w="6339" w:type="dxa"/>
            <w:vAlign w:val="center"/>
          </w:tcPr>
          <w:p w14:paraId="07AD28F4" w14:textId="0C0E2154" w:rsidR="00482EC4" w:rsidRPr="00322FB3" w:rsidRDefault="00A95F91" w:rsidP="00A83802">
            <w:pPr>
              <w:spacing w:after="0" w:line="240" w:lineRule="auto"/>
              <w:jc w:val="center"/>
              <w:rPr>
                <w:rFonts w:ascii="Arial" w:hAnsi="Arial" w:cs="Arial"/>
                <w:color w:val="000000"/>
                <w:sz w:val="20"/>
                <w:szCs w:val="20"/>
              </w:rPr>
            </w:pPr>
            <w:r w:rsidRPr="00A95F91">
              <w:rPr>
                <w:rFonts w:ascii="Arial" w:hAnsi="Arial" w:cs="Arial"/>
                <w:color w:val="000000"/>
                <w:sz w:val="20"/>
                <w:szCs w:val="20"/>
              </w:rPr>
              <w:t>Factors Influencing Indonesia’s Young Generations in Interest to Use Digital Investment Applications</w:t>
            </w:r>
          </w:p>
        </w:tc>
      </w:tr>
    </w:tbl>
    <w:p w14:paraId="698D9021" w14:textId="77777777" w:rsidR="00D569C1" w:rsidRDefault="00D569C1" w:rsidP="00A51969">
      <w:pPr>
        <w:spacing w:after="0" w:line="240" w:lineRule="auto"/>
        <w:rPr>
          <w:rFonts w:ascii="Arial" w:hAnsi="Arial" w:cs="Arial"/>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6339"/>
      </w:tblGrid>
      <w:tr w:rsidR="00D97111" w:rsidRPr="00AE1338" w14:paraId="158085E9" w14:textId="77777777" w:rsidTr="007C6E48">
        <w:trPr>
          <w:jc w:val="center"/>
        </w:trPr>
        <w:tc>
          <w:tcPr>
            <w:tcW w:w="0" w:type="auto"/>
            <w:gridSpan w:val="3"/>
            <w:vAlign w:val="center"/>
          </w:tcPr>
          <w:p w14:paraId="65C21DA3" w14:textId="77777777" w:rsidR="00C81E16" w:rsidRPr="00AE1338" w:rsidRDefault="00C81E16" w:rsidP="00A51969">
            <w:pPr>
              <w:spacing w:after="0" w:line="240" w:lineRule="auto"/>
              <w:jc w:val="right"/>
              <w:rPr>
                <w:rFonts w:ascii="Arial" w:hAnsi="Arial" w:cs="Arial"/>
                <w:b/>
                <w:bCs/>
                <w:sz w:val="20"/>
                <w:szCs w:val="20"/>
                <w:lang w:val="en-US"/>
              </w:rPr>
            </w:pPr>
            <w:r>
              <w:rPr>
                <w:rFonts w:ascii="Arial" w:hAnsi="Arial" w:cs="Arial"/>
                <w:b/>
                <w:bCs/>
                <w:sz w:val="20"/>
                <w:szCs w:val="20"/>
                <w:lang w:val="en-US"/>
              </w:rPr>
              <w:t>20</w:t>
            </w:r>
            <w:r w:rsidRPr="00AE1338">
              <w:rPr>
                <w:rFonts w:ascii="Arial" w:hAnsi="Arial" w:cs="Arial"/>
                <w:b/>
                <w:bCs/>
                <w:sz w:val="20"/>
                <w:szCs w:val="20"/>
                <w:vertAlign w:val="superscript"/>
                <w:lang w:val="en-US"/>
              </w:rPr>
              <w:t>th</w:t>
            </w:r>
            <w:r w:rsidRPr="00AE1338">
              <w:rPr>
                <w:rFonts w:ascii="Arial" w:hAnsi="Arial" w:cs="Arial"/>
                <w:b/>
                <w:bCs/>
                <w:sz w:val="20"/>
                <w:szCs w:val="20"/>
                <w:lang w:val="en-US"/>
              </w:rPr>
              <w:t xml:space="preserve"> August 2025</w:t>
            </w:r>
          </w:p>
          <w:p w14:paraId="6179FC11" w14:textId="575D9DA5" w:rsidR="00D97111" w:rsidRPr="00AE1338" w:rsidRDefault="00D97111" w:rsidP="00A51969">
            <w:pPr>
              <w:spacing w:after="0" w:line="240" w:lineRule="auto"/>
              <w:jc w:val="center"/>
              <w:rPr>
                <w:rFonts w:ascii="Arial" w:hAnsi="Arial" w:cs="Arial"/>
                <w:b/>
                <w:bCs/>
                <w:sz w:val="20"/>
                <w:szCs w:val="20"/>
                <w:lang w:val="en-US"/>
              </w:rPr>
            </w:pPr>
            <w:r w:rsidRPr="00AE1338">
              <w:rPr>
                <w:rFonts w:ascii="Arial" w:hAnsi="Arial" w:cs="Arial"/>
                <w:b/>
                <w:bCs/>
                <w:sz w:val="20"/>
                <w:szCs w:val="20"/>
                <w:lang w:val="en-US"/>
              </w:rPr>
              <w:t xml:space="preserve">Session </w:t>
            </w:r>
            <w:r>
              <w:rPr>
                <w:rFonts w:ascii="Arial" w:hAnsi="Arial" w:cs="Arial"/>
                <w:b/>
                <w:bCs/>
                <w:sz w:val="20"/>
                <w:szCs w:val="20"/>
                <w:lang w:val="en-US"/>
              </w:rPr>
              <w:t>D</w:t>
            </w:r>
          </w:p>
          <w:p w14:paraId="1FC812FC" w14:textId="4359B7B2" w:rsidR="00D97111" w:rsidRPr="00AE1338" w:rsidRDefault="00D97111"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Session Chair:</w:t>
            </w:r>
            <w:r>
              <w:rPr>
                <w:rFonts w:ascii="Arial" w:hAnsi="Arial" w:cs="Arial"/>
                <w:b/>
                <w:bCs/>
                <w:sz w:val="20"/>
                <w:szCs w:val="20"/>
                <w:lang w:val="en-US"/>
              </w:rPr>
              <w:t xml:space="preserve"> </w:t>
            </w:r>
            <w:r w:rsidR="00F953AF" w:rsidRPr="00F953AF">
              <w:rPr>
                <w:rFonts w:ascii="Arial" w:hAnsi="Arial" w:cs="Arial"/>
                <w:b/>
                <w:bCs/>
                <w:sz w:val="20"/>
                <w:szCs w:val="20"/>
                <w:lang w:val="en-US"/>
              </w:rPr>
              <w:t xml:space="preserve">Mochamad Chandra Saputra, </w:t>
            </w:r>
            <w:proofErr w:type="gramStart"/>
            <w:r w:rsidR="00F953AF" w:rsidRPr="00F953AF">
              <w:rPr>
                <w:rFonts w:ascii="Arial" w:hAnsi="Arial" w:cs="Arial"/>
                <w:b/>
                <w:bCs/>
                <w:sz w:val="20"/>
                <w:szCs w:val="20"/>
                <w:lang w:val="en-US"/>
              </w:rPr>
              <w:t>S.Kom</w:t>
            </w:r>
            <w:proofErr w:type="gramEnd"/>
            <w:r w:rsidR="00F953AF" w:rsidRPr="00F953AF">
              <w:rPr>
                <w:rFonts w:ascii="Arial" w:hAnsi="Arial" w:cs="Arial"/>
                <w:b/>
                <w:bCs/>
                <w:sz w:val="20"/>
                <w:szCs w:val="20"/>
                <w:lang w:val="en-US"/>
              </w:rPr>
              <w:t xml:space="preserve">., M. Eng., M.T., </w:t>
            </w:r>
            <w:proofErr w:type="gramStart"/>
            <w:r w:rsidR="00F953AF" w:rsidRPr="00F953AF">
              <w:rPr>
                <w:rFonts w:ascii="Arial" w:hAnsi="Arial" w:cs="Arial"/>
                <w:b/>
                <w:bCs/>
                <w:sz w:val="20"/>
                <w:szCs w:val="20"/>
                <w:lang w:val="en-US"/>
              </w:rPr>
              <w:t>Ph.D</w:t>
            </w:r>
            <w:proofErr w:type="gramEnd"/>
          </w:p>
          <w:p w14:paraId="598D1C38" w14:textId="77777777" w:rsidR="00D97111" w:rsidRPr="00AE1338" w:rsidRDefault="00D97111"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 xml:space="preserve">Location: </w:t>
            </w:r>
            <w:r>
              <w:rPr>
                <w:rFonts w:ascii="Arial" w:hAnsi="Arial" w:cs="Arial"/>
                <w:b/>
                <w:bCs/>
                <w:sz w:val="20"/>
                <w:szCs w:val="20"/>
                <w:lang w:val="en-US"/>
              </w:rPr>
              <w:t xml:space="preserve">Online </w:t>
            </w:r>
          </w:p>
        </w:tc>
      </w:tr>
      <w:tr w:rsidR="004B65CC" w:rsidRPr="00AE1338" w14:paraId="32BE0E78" w14:textId="77777777" w:rsidTr="005A1C5A">
        <w:trPr>
          <w:jc w:val="center"/>
        </w:trPr>
        <w:tc>
          <w:tcPr>
            <w:tcW w:w="1696" w:type="dxa"/>
            <w:vAlign w:val="center"/>
          </w:tcPr>
          <w:p w14:paraId="7E9DEEE4" w14:textId="77777777" w:rsidR="004B65CC" w:rsidRPr="00AE1338" w:rsidRDefault="004B65C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Time (Istanbul Turkiye)</w:t>
            </w:r>
          </w:p>
        </w:tc>
        <w:tc>
          <w:tcPr>
            <w:tcW w:w="1701" w:type="dxa"/>
            <w:vAlign w:val="center"/>
          </w:tcPr>
          <w:p w14:paraId="0BE2AA53" w14:textId="3216840E"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Paper </w:t>
            </w:r>
            <w:r>
              <w:rPr>
                <w:rFonts w:ascii="Arial" w:hAnsi="Arial" w:cs="Arial"/>
                <w:b/>
                <w:bCs/>
                <w:sz w:val="20"/>
                <w:szCs w:val="20"/>
                <w:lang w:val="en-US"/>
              </w:rPr>
              <w:t>ID</w:t>
            </w:r>
          </w:p>
        </w:tc>
        <w:tc>
          <w:tcPr>
            <w:tcW w:w="6339" w:type="dxa"/>
            <w:vAlign w:val="center"/>
          </w:tcPr>
          <w:p w14:paraId="11ACF19F" w14:textId="154773CF"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Paper</w:t>
            </w:r>
            <w:r>
              <w:rPr>
                <w:rFonts w:ascii="Arial" w:hAnsi="Arial" w:cs="Arial"/>
                <w:b/>
                <w:bCs/>
                <w:sz w:val="20"/>
                <w:szCs w:val="20"/>
                <w:lang w:val="en-US"/>
              </w:rPr>
              <w:t xml:space="preserve"> Title</w:t>
            </w:r>
          </w:p>
        </w:tc>
      </w:tr>
      <w:tr w:rsidR="004066FB" w:rsidRPr="00AE1338" w14:paraId="67669815" w14:textId="77777777" w:rsidTr="005A1C5A">
        <w:trPr>
          <w:jc w:val="center"/>
        </w:trPr>
        <w:tc>
          <w:tcPr>
            <w:tcW w:w="1696" w:type="dxa"/>
            <w:vAlign w:val="center"/>
          </w:tcPr>
          <w:p w14:paraId="403DE3CA" w14:textId="1AD779A3" w:rsid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09:00–09:20</w:t>
            </w:r>
          </w:p>
        </w:tc>
        <w:tc>
          <w:tcPr>
            <w:tcW w:w="1701" w:type="dxa"/>
            <w:vAlign w:val="center"/>
          </w:tcPr>
          <w:p w14:paraId="2158A031" w14:textId="57B7228F"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38</w:t>
            </w:r>
          </w:p>
        </w:tc>
        <w:tc>
          <w:tcPr>
            <w:tcW w:w="6339" w:type="dxa"/>
            <w:vAlign w:val="center"/>
          </w:tcPr>
          <w:p w14:paraId="6006292D" w14:textId="27B5BE3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Environmental Management through Technological Dependency: The Role of GHG Intensity and ESG Performance in Firm Value Creation</w:t>
            </w:r>
          </w:p>
        </w:tc>
      </w:tr>
      <w:tr w:rsidR="004066FB" w:rsidRPr="00AE1338" w14:paraId="50ECD85B" w14:textId="77777777" w:rsidTr="005A1C5A">
        <w:trPr>
          <w:jc w:val="center"/>
        </w:trPr>
        <w:tc>
          <w:tcPr>
            <w:tcW w:w="1696" w:type="dxa"/>
            <w:vAlign w:val="center"/>
          </w:tcPr>
          <w:p w14:paraId="65E55DAE" w14:textId="6C48320B"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09:20–09:40</w:t>
            </w:r>
          </w:p>
        </w:tc>
        <w:tc>
          <w:tcPr>
            <w:tcW w:w="1701" w:type="dxa"/>
            <w:vAlign w:val="center"/>
          </w:tcPr>
          <w:p w14:paraId="2B47C650" w14:textId="024E030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40</w:t>
            </w:r>
          </w:p>
        </w:tc>
        <w:tc>
          <w:tcPr>
            <w:tcW w:w="6339" w:type="dxa"/>
            <w:vAlign w:val="center"/>
          </w:tcPr>
          <w:p w14:paraId="7B8FA654" w14:textId="05D77B0A"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Fuzzy PID-based Controller of Multi-joints Lower limb Exoskeleton Robot</w:t>
            </w:r>
          </w:p>
        </w:tc>
      </w:tr>
      <w:tr w:rsidR="004066FB" w:rsidRPr="00AE1338" w14:paraId="6F16411B" w14:textId="77777777" w:rsidTr="005A1C5A">
        <w:trPr>
          <w:jc w:val="center"/>
        </w:trPr>
        <w:tc>
          <w:tcPr>
            <w:tcW w:w="1696" w:type="dxa"/>
            <w:vAlign w:val="center"/>
          </w:tcPr>
          <w:p w14:paraId="2934EDDB" w14:textId="39A73D17"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09:40–10:00</w:t>
            </w:r>
          </w:p>
        </w:tc>
        <w:tc>
          <w:tcPr>
            <w:tcW w:w="1701" w:type="dxa"/>
            <w:vAlign w:val="center"/>
          </w:tcPr>
          <w:p w14:paraId="6E95B961" w14:textId="3697F166"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42</w:t>
            </w:r>
          </w:p>
        </w:tc>
        <w:tc>
          <w:tcPr>
            <w:tcW w:w="6339" w:type="dxa"/>
            <w:vAlign w:val="center"/>
          </w:tcPr>
          <w:p w14:paraId="00F5C1BE" w14:textId="7E149A75"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Designing of Academic System Enterprise Architecture Using TOGAF Framework: A Case of Indonesia Educational Foundation</w:t>
            </w:r>
          </w:p>
        </w:tc>
      </w:tr>
      <w:tr w:rsidR="004066FB" w:rsidRPr="00AE1338" w14:paraId="29164A09" w14:textId="77777777" w:rsidTr="005A1C5A">
        <w:trPr>
          <w:jc w:val="center"/>
        </w:trPr>
        <w:tc>
          <w:tcPr>
            <w:tcW w:w="1696" w:type="dxa"/>
            <w:vAlign w:val="center"/>
          </w:tcPr>
          <w:p w14:paraId="43CC93A8" w14:textId="1AA2B0B6"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10:00–10:20</w:t>
            </w:r>
          </w:p>
        </w:tc>
        <w:tc>
          <w:tcPr>
            <w:tcW w:w="1701" w:type="dxa"/>
            <w:vAlign w:val="center"/>
          </w:tcPr>
          <w:p w14:paraId="1A497A29" w14:textId="77766CD7"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43</w:t>
            </w:r>
          </w:p>
        </w:tc>
        <w:tc>
          <w:tcPr>
            <w:tcW w:w="6339" w:type="dxa"/>
            <w:vAlign w:val="center"/>
          </w:tcPr>
          <w:p w14:paraId="0FE0407A" w14:textId="153A7B5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Towards Real-Time Inventory Visibility: An RFID–IoT Conceptual Design for SMEs</w:t>
            </w:r>
          </w:p>
        </w:tc>
      </w:tr>
      <w:tr w:rsidR="004066FB" w:rsidRPr="00AE1338" w14:paraId="086A0C5C" w14:textId="77777777" w:rsidTr="005A1C5A">
        <w:trPr>
          <w:jc w:val="center"/>
        </w:trPr>
        <w:tc>
          <w:tcPr>
            <w:tcW w:w="1696" w:type="dxa"/>
            <w:vAlign w:val="center"/>
          </w:tcPr>
          <w:p w14:paraId="5722FA35" w14:textId="3C9BE5C8"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10:20–10:40</w:t>
            </w:r>
          </w:p>
        </w:tc>
        <w:tc>
          <w:tcPr>
            <w:tcW w:w="1701" w:type="dxa"/>
            <w:vAlign w:val="center"/>
          </w:tcPr>
          <w:p w14:paraId="73E5B345" w14:textId="7F9B0049"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44</w:t>
            </w:r>
          </w:p>
        </w:tc>
        <w:tc>
          <w:tcPr>
            <w:tcW w:w="6339" w:type="dxa"/>
            <w:vAlign w:val="center"/>
          </w:tcPr>
          <w:p w14:paraId="4E1B4D1C" w14:textId="7866F37E"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AI Agent for WhatsApp Order Fulfillment in Hardware and Material SMEs Using Agentic AI</w:t>
            </w:r>
          </w:p>
        </w:tc>
      </w:tr>
      <w:tr w:rsidR="004066FB" w:rsidRPr="00AE1338" w14:paraId="1A590D50" w14:textId="77777777" w:rsidTr="005A1C5A">
        <w:trPr>
          <w:jc w:val="center"/>
        </w:trPr>
        <w:tc>
          <w:tcPr>
            <w:tcW w:w="1696" w:type="dxa"/>
            <w:vAlign w:val="center"/>
          </w:tcPr>
          <w:p w14:paraId="6768C916" w14:textId="5BB14F12"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10:40–11:00</w:t>
            </w:r>
          </w:p>
        </w:tc>
        <w:tc>
          <w:tcPr>
            <w:tcW w:w="1701" w:type="dxa"/>
            <w:vAlign w:val="center"/>
          </w:tcPr>
          <w:p w14:paraId="39F73C84" w14:textId="20981619"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46</w:t>
            </w:r>
          </w:p>
        </w:tc>
        <w:tc>
          <w:tcPr>
            <w:tcW w:w="6339" w:type="dxa"/>
            <w:vAlign w:val="center"/>
          </w:tcPr>
          <w:p w14:paraId="5CD96087" w14:textId="05947129"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Impact of Risk, Self-Efficacy, and Social Factors on the Adoption and Use of Healthy Lifestyle Applications</w:t>
            </w:r>
          </w:p>
        </w:tc>
      </w:tr>
      <w:tr w:rsidR="004066FB" w:rsidRPr="00AE1338" w14:paraId="1B8D6B80" w14:textId="77777777" w:rsidTr="005A1C5A">
        <w:trPr>
          <w:jc w:val="center"/>
        </w:trPr>
        <w:tc>
          <w:tcPr>
            <w:tcW w:w="1696" w:type="dxa"/>
            <w:vAlign w:val="center"/>
          </w:tcPr>
          <w:p w14:paraId="6560699C" w14:textId="15CB35A3"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11:00–11:20</w:t>
            </w:r>
          </w:p>
        </w:tc>
        <w:tc>
          <w:tcPr>
            <w:tcW w:w="1701" w:type="dxa"/>
            <w:vAlign w:val="center"/>
          </w:tcPr>
          <w:p w14:paraId="3EC084AD" w14:textId="2AC5EE97"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49</w:t>
            </w:r>
          </w:p>
        </w:tc>
        <w:tc>
          <w:tcPr>
            <w:tcW w:w="6339" w:type="dxa"/>
            <w:vAlign w:val="center"/>
          </w:tcPr>
          <w:p w14:paraId="7AAEB61D" w14:textId="71CB884C"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 xml:space="preserve">Sentiment Analysis </w:t>
            </w:r>
            <w:proofErr w:type="gramStart"/>
            <w:r>
              <w:rPr>
                <w:rFonts w:ascii="Arial" w:hAnsi="Arial" w:cs="Arial"/>
                <w:color w:val="000000"/>
                <w:sz w:val="20"/>
                <w:szCs w:val="20"/>
              </w:rPr>
              <w:t>Of</w:t>
            </w:r>
            <w:proofErr w:type="gramEnd"/>
            <w:r>
              <w:rPr>
                <w:rFonts w:ascii="Arial" w:hAnsi="Arial" w:cs="Arial"/>
                <w:color w:val="000000"/>
                <w:sz w:val="20"/>
                <w:szCs w:val="20"/>
              </w:rPr>
              <w:t xml:space="preserve"> Twitter/X Users Toward The #KABURAJADULU Phenomenon Using Support Vector Machine </w:t>
            </w:r>
            <w:proofErr w:type="gramStart"/>
            <w:r>
              <w:rPr>
                <w:rFonts w:ascii="Arial" w:hAnsi="Arial" w:cs="Arial"/>
                <w:color w:val="000000"/>
                <w:sz w:val="20"/>
                <w:szCs w:val="20"/>
              </w:rPr>
              <w:t>And</w:t>
            </w:r>
            <w:proofErr w:type="gramEnd"/>
            <w:r>
              <w:rPr>
                <w:rFonts w:ascii="Arial" w:hAnsi="Arial" w:cs="Arial"/>
                <w:color w:val="000000"/>
                <w:sz w:val="20"/>
                <w:szCs w:val="20"/>
              </w:rPr>
              <w:t xml:space="preserve"> Indobert Embedding</w:t>
            </w:r>
          </w:p>
        </w:tc>
      </w:tr>
      <w:tr w:rsidR="004066FB" w:rsidRPr="00AE1338" w14:paraId="18C668DB" w14:textId="77777777" w:rsidTr="005A1C5A">
        <w:trPr>
          <w:jc w:val="center"/>
        </w:trPr>
        <w:tc>
          <w:tcPr>
            <w:tcW w:w="1696" w:type="dxa"/>
            <w:vAlign w:val="center"/>
          </w:tcPr>
          <w:p w14:paraId="1B61D5CF" w14:textId="28B84D79"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11:20–11:40</w:t>
            </w:r>
          </w:p>
        </w:tc>
        <w:tc>
          <w:tcPr>
            <w:tcW w:w="1701" w:type="dxa"/>
            <w:vAlign w:val="center"/>
          </w:tcPr>
          <w:p w14:paraId="1354248B" w14:textId="7E42A803"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51</w:t>
            </w:r>
          </w:p>
        </w:tc>
        <w:tc>
          <w:tcPr>
            <w:tcW w:w="6339" w:type="dxa"/>
            <w:vAlign w:val="center"/>
          </w:tcPr>
          <w:p w14:paraId="1E0AA0C5" w14:textId="5E347765"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Determinants of Generation Z’s Behavioral Intention Toward Crypto Trading Applications in Indonesia</w:t>
            </w:r>
          </w:p>
        </w:tc>
      </w:tr>
      <w:tr w:rsidR="004066FB" w:rsidRPr="00AE1338" w14:paraId="4D87F089" w14:textId="77777777" w:rsidTr="005A1C5A">
        <w:trPr>
          <w:jc w:val="center"/>
        </w:trPr>
        <w:tc>
          <w:tcPr>
            <w:tcW w:w="1696" w:type="dxa"/>
            <w:vAlign w:val="center"/>
          </w:tcPr>
          <w:p w14:paraId="0EB15162" w14:textId="09D797D2"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11:40–12:00</w:t>
            </w:r>
          </w:p>
        </w:tc>
        <w:tc>
          <w:tcPr>
            <w:tcW w:w="1701" w:type="dxa"/>
            <w:vAlign w:val="center"/>
          </w:tcPr>
          <w:p w14:paraId="438BDC71" w14:textId="1DD544B8"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60</w:t>
            </w:r>
          </w:p>
        </w:tc>
        <w:tc>
          <w:tcPr>
            <w:tcW w:w="6339" w:type="dxa"/>
            <w:vAlign w:val="center"/>
          </w:tcPr>
          <w:p w14:paraId="6794AB99" w14:textId="19BA1752"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Analysis of the Influence of Live Commerce Strategy on Impulsive Buying Behaviour</w:t>
            </w:r>
          </w:p>
        </w:tc>
      </w:tr>
      <w:tr w:rsidR="004066FB" w:rsidRPr="00AE1338" w14:paraId="3C4E73AF" w14:textId="77777777" w:rsidTr="005A1C5A">
        <w:trPr>
          <w:jc w:val="center"/>
        </w:trPr>
        <w:tc>
          <w:tcPr>
            <w:tcW w:w="1696" w:type="dxa"/>
            <w:vAlign w:val="center"/>
          </w:tcPr>
          <w:p w14:paraId="73239D72" w14:textId="181E8A72"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w:t>
            </w:r>
            <w:r>
              <w:rPr>
                <w:rFonts w:ascii="Arial" w:hAnsi="Arial" w:cs="Arial"/>
                <w:b/>
                <w:bCs/>
                <w:color w:val="000000"/>
                <w:sz w:val="20"/>
                <w:szCs w:val="20"/>
              </w:rPr>
              <w:t>2</w:t>
            </w:r>
            <w:r w:rsidRPr="004066FB">
              <w:rPr>
                <w:rFonts w:ascii="Arial" w:hAnsi="Arial" w:cs="Arial"/>
                <w:b/>
                <w:bCs/>
                <w:color w:val="000000"/>
                <w:sz w:val="20"/>
                <w:szCs w:val="20"/>
              </w:rPr>
              <w:t>:00–1</w:t>
            </w:r>
            <w:r>
              <w:rPr>
                <w:rFonts w:ascii="Arial" w:hAnsi="Arial" w:cs="Arial"/>
                <w:b/>
                <w:bCs/>
                <w:color w:val="000000"/>
                <w:sz w:val="20"/>
                <w:szCs w:val="20"/>
              </w:rPr>
              <w:t>2</w:t>
            </w:r>
            <w:r w:rsidRPr="004066FB">
              <w:rPr>
                <w:rFonts w:ascii="Arial" w:hAnsi="Arial" w:cs="Arial"/>
                <w:b/>
                <w:bCs/>
                <w:color w:val="000000"/>
                <w:sz w:val="20"/>
                <w:szCs w:val="20"/>
              </w:rPr>
              <w:t>:20</w:t>
            </w:r>
          </w:p>
        </w:tc>
        <w:tc>
          <w:tcPr>
            <w:tcW w:w="1701" w:type="dxa"/>
            <w:vAlign w:val="center"/>
          </w:tcPr>
          <w:p w14:paraId="385C0AE9" w14:textId="131D5B6A"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61</w:t>
            </w:r>
          </w:p>
        </w:tc>
        <w:tc>
          <w:tcPr>
            <w:tcW w:w="6339" w:type="dxa"/>
            <w:vAlign w:val="center"/>
          </w:tcPr>
          <w:p w14:paraId="3E1B6715" w14:textId="6848B4F1"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Behavioral Intention to Use Mobile App in the Greater Jakarta</w:t>
            </w:r>
          </w:p>
        </w:tc>
      </w:tr>
      <w:tr w:rsidR="00482EC4" w:rsidRPr="00AE1338" w14:paraId="4C3196FA" w14:textId="77777777" w:rsidTr="005A1C5A">
        <w:trPr>
          <w:jc w:val="center"/>
        </w:trPr>
        <w:tc>
          <w:tcPr>
            <w:tcW w:w="1696" w:type="dxa"/>
            <w:vAlign w:val="center"/>
          </w:tcPr>
          <w:p w14:paraId="194FC5B0" w14:textId="79FA6D02" w:rsidR="00482EC4" w:rsidRPr="004066FB" w:rsidRDefault="00482EC4" w:rsidP="004066FB">
            <w:pPr>
              <w:spacing w:after="0" w:line="240" w:lineRule="auto"/>
              <w:jc w:val="center"/>
              <w:rPr>
                <w:rFonts w:ascii="Arial" w:hAnsi="Arial" w:cs="Arial"/>
                <w:b/>
                <w:bCs/>
                <w:color w:val="000000"/>
                <w:sz w:val="20"/>
                <w:szCs w:val="20"/>
              </w:rPr>
            </w:pPr>
            <w:r>
              <w:rPr>
                <w:rFonts w:ascii="Arial" w:hAnsi="Arial" w:cs="Arial"/>
                <w:b/>
                <w:bCs/>
                <w:color w:val="000000"/>
                <w:sz w:val="20"/>
                <w:szCs w:val="20"/>
              </w:rPr>
              <w:t>12:20-1</w:t>
            </w:r>
            <w:r w:rsidR="00A95F91">
              <w:rPr>
                <w:rFonts w:ascii="Arial" w:hAnsi="Arial" w:cs="Arial"/>
                <w:b/>
                <w:bCs/>
                <w:color w:val="000000"/>
                <w:sz w:val="20"/>
                <w:szCs w:val="20"/>
              </w:rPr>
              <w:t>2</w:t>
            </w:r>
            <w:r>
              <w:rPr>
                <w:rFonts w:ascii="Arial" w:hAnsi="Arial" w:cs="Arial"/>
                <w:b/>
                <w:bCs/>
                <w:color w:val="000000"/>
                <w:sz w:val="20"/>
                <w:szCs w:val="20"/>
              </w:rPr>
              <w:t>:</w:t>
            </w:r>
            <w:r w:rsidR="00A95F91">
              <w:rPr>
                <w:rFonts w:ascii="Arial" w:hAnsi="Arial" w:cs="Arial"/>
                <w:b/>
                <w:bCs/>
                <w:color w:val="000000"/>
                <w:sz w:val="20"/>
                <w:szCs w:val="20"/>
              </w:rPr>
              <w:t>4</w:t>
            </w:r>
            <w:r>
              <w:rPr>
                <w:rFonts w:ascii="Arial" w:hAnsi="Arial" w:cs="Arial"/>
                <w:b/>
                <w:bCs/>
                <w:color w:val="000000"/>
                <w:sz w:val="20"/>
                <w:szCs w:val="20"/>
              </w:rPr>
              <w:t>0</w:t>
            </w:r>
          </w:p>
        </w:tc>
        <w:tc>
          <w:tcPr>
            <w:tcW w:w="1701" w:type="dxa"/>
            <w:vAlign w:val="center"/>
          </w:tcPr>
          <w:p w14:paraId="245FA3D1" w14:textId="0E7C6A92" w:rsidR="00482EC4" w:rsidRDefault="00482EC4" w:rsidP="004066FB">
            <w:pPr>
              <w:spacing w:after="0" w:line="240" w:lineRule="auto"/>
              <w:jc w:val="center"/>
              <w:rPr>
                <w:rFonts w:ascii="Arial" w:hAnsi="Arial" w:cs="Arial"/>
                <w:color w:val="000000"/>
                <w:sz w:val="20"/>
                <w:szCs w:val="20"/>
              </w:rPr>
            </w:pPr>
            <w:r>
              <w:rPr>
                <w:rFonts w:ascii="Arial" w:hAnsi="Arial" w:cs="Arial"/>
                <w:color w:val="000000"/>
                <w:sz w:val="20"/>
                <w:szCs w:val="20"/>
              </w:rPr>
              <w:t>94</w:t>
            </w:r>
          </w:p>
        </w:tc>
        <w:tc>
          <w:tcPr>
            <w:tcW w:w="6339" w:type="dxa"/>
            <w:vAlign w:val="center"/>
          </w:tcPr>
          <w:p w14:paraId="041C4938" w14:textId="3DF49BE4" w:rsidR="00482EC4" w:rsidRDefault="00482EC4" w:rsidP="00482EC4">
            <w:pPr>
              <w:spacing w:after="0" w:line="240" w:lineRule="auto"/>
              <w:jc w:val="center"/>
              <w:rPr>
                <w:rFonts w:ascii="Arial" w:hAnsi="Arial" w:cs="Arial"/>
                <w:color w:val="000000"/>
                <w:sz w:val="20"/>
                <w:szCs w:val="20"/>
              </w:rPr>
            </w:pPr>
            <w:r w:rsidRPr="00482EC4">
              <w:rPr>
                <w:rFonts w:ascii="Arial" w:hAnsi="Arial" w:cs="Arial"/>
                <w:color w:val="000000"/>
                <w:sz w:val="20"/>
                <w:szCs w:val="20"/>
              </w:rPr>
              <w:t>Health Misinformation Susceptibility and Health Behaviour in Developing Countries: A PLS-SEM Study</w:t>
            </w:r>
          </w:p>
        </w:tc>
      </w:tr>
      <w:tr w:rsidR="00A95F91" w:rsidRPr="00AE1338" w14:paraId="30D9A188" w14:textId="77777777" w:rsidTr="005A1C5A">
        <w:trPr>
          <w:jc w:val="center"/>
        </w:trPr>
        <w:tc>
          <w:tcPr>
            <w:tcW w:w="1696" w:type="dxa"/>
            <w:vAlign w:val="center"/>
          </w:tcPr>
          <w:p w14:paraId="1510EC05" w14:textId="6DD6E925" w:rsidR="00A95F91" w:rsidRDefault="00A95F91" w:rsidP="004066FB">
            <w:pPr>
              <w:spacing w:after="0" w:line="240" w:lineRule="auto"/>
              <w:jc w:val="center"/>
              <w:rPr>
                <w:rFonts w:ascii="Arial" w:hAnsi="Arial" w:cs="Arial"/>
                <w:b/>
                <w:bCs/>
                <w:color w:val="000000"/>
                <w:sz w:val="20"/>
                <w:szCs w:val="20"/>
              </w:rPr>
            </w:pPr>
            <w:r>
              <w:rPr>
                <w:rFonts w:ascii="Arial" w:hAnsi="Arial" w:cs="Arial"/>
                <w:b/>
                <w:bCs/>
                <w:color w:val="000000"/>
                <w:sz w:val="20"/>
                <w:szCs w:val="20"/>
              </w:rPr>
              <w:t>12:40-13:00</w:t>
            </w:r>
          </w:p>
        </w:tc>
        <w:tc>
          <w:tcPr>
            <w:tcW w:w="1701" w:type="dxa"/>
            <w:vAlign w:val="center"/>
          </w:tcPr>
          <w:p w14:paraId="453B3390" w14:textId="6F29686A" w:rsidR="00A95F91" w:rsidRDefault="00A95F91" w:rsidP="004066FB">
            <w:pPr>
              <w:spacing w:after="0" w:line="240" w:lineRule="auto"/>
              <w:jc w:val="center"/>
              <w:rPr>
                <w:rFonts w:ascii="Arial" w:hAnsi="Arial" w:cs="Arial"/>
                <w:color w:val="000000"/>
                <w:sz w:val="20"/>
                <w:szCs w:val="20"/>
              </w:rPr>
            </w:pPr>
            <w:r>
              <w:rPr>
                <w:rFonts w:ascii="Arial" w:hAnsi="Arial" w:cs="Arial"/>
                <w:color w:val="000000"/>
                <w:sz w:val="20"/>
                <w:szCs w:val="20"/>
              </w:rPr>
              <w:t>90</w:t>
            </w:r>
          </w:p>
        </w:tc>
        <w:tc>
          <w:tcPr>
            <w:tcW w:w="6339" w:type="dxa"/>
            <w:vAlign w:val="center"/>
          </w:tcPr>
          <w:p w14:paraId="0B35FA8D" w14:textId="294BA5E4" w:rsidR="00A95F91" w:rsidRPr="00482EC4" w:rsidRDefault="00A95F91" w:rsidP="00482EC4">
            <w:pPr>
              <w:spacing w:after="0" w:line="240" w:lineRule="auto"/>
              <w:jc w:val="center"/>
              <w:rPr>
                <w:rFonts w:ascii="Arial" w:hAnsi="Arial" w:cs="Arial"/>
                <w:color w:val="000000"/>
                <w:sz w:val="20"/>
                <w:szCs w:val="20"/>
              </w:rPr>
            </w:pPr>
            <w:r w:rsidRPr="00A95F91">
              <w:rPr>
                <w:rFonts w:ascii="Arial" w:hAnsi="Arial" w:cs="Arial"/>
                <w:color w:val="000000"/>
                <w:sz w:val="20"/>
                <w:szCs w:val="20"/>
              </w:rPr>
              <w:t>Data Sovereignty and the Hidden Barriers to Generative AI Adoption in the Public Sector</w:t>
            </w:r>
          </w:p>
        </w:tc>
      </w:tr>
    </w:tbl>
    <w:p w14:paraId="018EF84E" w14:textId="77777777" w:rsidR="00D97111" w:rsidRDefault="00D97111" w:rsidP="00A51969">
      <w:pPr>
        <w:spacing w:after="0" w:line="240" w:lineRule="auto"/>
        <w:rPr>
          <w:rFonts w:ascii="Arial" w:hAnsi="Arial" w:cs="Arial"/>
          <w:b/>
          <w:bCs/>
          <w:sz w:val="20"/>
          <w:szCs w:val="20"/>
          <w:lang w:val="en-US"/>
        </w:rPr>
      </w:pPr>
    </w:p>
    <w:p w14:paraId="626A7ED6" w14:textId="77777777" w:rsidR="005A1C5A" w:rsidRDefault="005A1C5A" w:rsidP="00A51969">
      <w:pPr>
        <w:spacing w:after="0" w:line="240" w:lineRule="auto"/>
        <w:rPr>
          <w:rFonts w:ascii="Arial" w:hAnsi="Arial" w:cs="Arial"/>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6339"/>
      </w:tblGrid>
      <w:tr w:rsidR="00630940" w:rsidRPr="00AE1338" w14:paraId="0BA08AC9" w14:textId="77777777" w:rsidTr="007C6E48">
        <w:trPr>
          <w:jc w:val="center"/>
        </w:trPr>
        <w:tc>
          <w:tcPr>
            <w:tcW w:w="0" w:type="auto"/>
            <w:gridSpan w:val="3"/>
            <w:vAlign w:val="center"/>
          </w:tcPr>
          <w:p w14:paraId="23D96345" w14:textId="77777777" w:rsidR="00C81E16" w:rsidRPr="00AE1338" w:rsidRDefault="00C81E16" w:rsidP="00A51969">
            <w:pPr>
              <w:spacing w:after="0" w:line="240" w:lineRule="auto"/>
              <w:jc w:val="right"/>
              <w:rPr>
                <w:rFonts w:ascii="Arial" w:hAnsi="Arial" w:cs="Arial"/>
                <w:b/>
                <w:bCs/>
                <w:sz w:val="20"/>
                <w:szCs w:val="20"/>
                <w:lang w:val="en-US"/>
              </w:rPr>
            </w:pPr>
            <w:r>
              <w:rPr>
                <w:rFonts w:ascii="Arial" w:hAnsi="Arial" w:cs="Arial"/>
                <w:b/>
                <w:bCs/>
                <w:sz w:val="20"/>
                <w:szCs w:val="20"/>
                <w:lang w:val="en-US"/>
              </w:rPr>
              <w:t>20</w:t>
            </w:r>
            <w:r w:rsidRPr="00AE1338">
              <w:rPr>
                <w:rFonts w:ascii="Arial" w:hAnsi="Arial" w:cs="Arial"/>
                <w:b/>
                <w:bCs/>
                <w:sz w:val="20"/>
                <w:szCs w:val="20"/>
                <w:vertAlign w:val="superscript"/>
                <w:lang w:val="en-US"/>
              </w:rPr>
              <w:t>th</w:t>
            </w:r>
            <w:r w:rsidRPr="00AE1338">
              <w:rPr>
                <w:rFonts w:ascii="Arial" w:hAnsi="Arial" w:cs="Arial"/>
                <w:b/>
                <w:bCs/>
                <w:sz w:val="20"/>
                <w:szCs w:val="20"/>
                <w:lang w:val="en-US"/>
              </w:rPr>
              <w:t xml:space="preserve"> August 2025</w:t>
            </w:r>
          </w:p>
          <w:p w14:paraId="1423AA33" w14:textId="412A2E1E" w:rsidR="00630940" w:rsidRPr="00AE1338" w:rsidRDefault="00971246"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Parallel Session </w:t>
            </w:r>
            <w:r w:rsidR="00630940">
              <w:rPr>
                <w:rFonts w:ascii="Arial" w:hAnsi="Arial" w:cs="Arial"/>
                <w:b/>
                <w:bCs/>
                <w:sz w:val="20"/>
                <w:szCs w:val="20"/>
                <w:lang w:val="en-US"/>
              </w:rPr>
              <w:t>E</w:t>
            </w:r>
          </w:p>
          <w:p w14:paraId="374515CF" w14:textId="6E0D1023" w:rsidR="00630940" w:rsidRPr="00AE1338" w:rsidRDefault="00630940"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Session Chair:</w:t>
            </w:r>
            <w:r>
              <w:rPr>
                <w:rFonts w:ascii="Arial" w:hAnsi="Arial" w:cs="Arial"/>
                <w:b/>
                <w:bCs/>
                <w:sz w:val="20"/>
                <w:szCs w:val="20"/>
                <w:lang w:val="en-US"/>
              </w:rPr>
              <w:t xml:space="preserve"> </w:t>
            </w:r>
            <w:r w:rsidR="00F953AF" w:rsidRPr="00F953AF">
              <w:rPr>
                <w:rFonts w:ascii="Arial" w:hAnsi="Arial" w:cs="Arial"/>
                <w:b/>
                <w:bCs/>
                <w:sz w:val="20"/>
                <w:szCs w:val="20"/>
                <w:lang w:val="en-US"/>
              </w:rPr>
              <w:t xml:space="preserve">Putra Pandu Adikara, </w:t>
            </w:r>
            <w:proofErr w:type="gramStart"/>
            <w:r w:rsidR="00F953AF" w:rsidRPr="00F953AF">
              <w:rPr>
                <w:rFonts w:ascii="Arial" w:hAnsi="Arial" w:cs="Arial"/>
                <w:b/>
                <w:bCs/>
                <w:sz w:val="20"/>
                <w:szCs w:val="20"/>
                <w:lang w:val="en-US"/>
              </w:rPr>
              <w:t>S.Kom</w:t>
            </w:r>
            <w:proofErr w:type="gramEnd"/>
            <w:r w:rsidR="00F953AF" w:rsidRPr="00F953AF">
              <w:rPr>
                <w:rFonts w:ascii="Arial" w:hAnsi="Arial" w:cs="Arial"/>
                <w:b/>
                <w:bCs/>
                <w:sz w:val="20"/>
                <w:szCs w:val="20"/>
                <w:lang w:val="en-US"/>
              </w:rPr>
              <w:t xml:space="preserve">., </w:t>
            </w:r>
            <w:proofErr w:type="gramStart"/>
            <w:r w:rsidR="00F953AF" w:rsidRPr="00F953AF">
              <w:rPr>
                <w:rFonts w:ascii="Arial" w:hAnsi="Arial" w:cs="Arial"/>
                <w:b/>
                <w:bCs/>
                <w:sz w:val="20"/>
                <w:szCs w:val="20"/>
                <w:lang w:val="en-US"/>
              </w:rPr>
              <w:t>M.Kom</w:t>
            </w:r>
            <w:proofErr w:type="gramEnd"/>
          </w:p>
          <w:p w14:paraId="70627146" w14:textId="77777777" w:rsidR="00630940" w:rsidRPr="00AE1338" w:rsidRDefault="00630940"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 xml:space="preserve">Location: </w:t>
            </w:r>
            <w:r>
              <w:rPr>
                <w:rFonts w:ascii="Arial" w:hAnsi="Arial" w:cs="Arial"/>
                <w:b/>
                <w:bCs/>
                <w:sz w:val="20"/>
                <w:szCs w:val="20"/>
                <w:lang w:val="en-US"/>
              </w:rPr>
              <w:t xml:space="preserve">Online </w:t>
            </w:r>
          </w:p>
        </w:tc>
      </w:tr>
      <w:tr w:rsidR="004B65CC" w:rsidRPr="00AE1338" w14:paraId="1BFAA9F9" w14:textId="77777777" w:rsidTr="007C6E48">
        <w:trPr>
          <w:jc w:val="center"/>
        </w:trPr>
        <w:tc>
          <w:tcPr>
            <w:tcW w:w="1696" w:type="dxa"/>
            <w:vAlign w:val="center"/>
          </w:tcPr>
          <w:p w14:paraId="28F8FA57" w14:textId="77777777" w:rsidR="004B65CC" w:rsidRPr="00AE1338" w:rsidRDefault="004B65C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Time (Istanbul Turkiye)</w:t>
            </w:r>
          </w:p>
        </w:tc>
        <w:tc>
          <w:tcPr>
            <w:tcW w:w="1701" w:type="dxa"/>
            <w:vAlign w:val="center"/>
          </w:tcPr>
          <w:p w14:paraId="72A8B3B8" w14:textId="784FFE7B"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Paper </w:t>
            </w:r>
            <w:r>
              <w:rPr>
                <w:rFonts w:ascii="Arial" w:hAnsi="Arial" w:cs="Arial"/>
                <w:b/>
                <w:bCs/>
                <w:sz w:val="20"/>
                <w:szCs w:val="20"/>
                <w:lang w:val="en-US"/>
              </w:rPr>
              <w:t>ID</w:t>
            </w:r>
          </w:p>
        </w:tc>
        <w:tc>
          <w:tcPr>
            <w:tcW w:w="6339" w:type="dxa"/>
            <w:vAlign w:val="center"/>
          </w:tcPr>
          <w:p w14:paraId="4D038B0F" w14:textId="253711C0"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Paper</w:t>
            </w:r>
            <w:r>
              <w:rPr>
                <w:rFonts w:ascii="Arial" w:hAnsi="Arial" w:cs="Arial"/>
                <w:b/>
                <w:bCs/>
                <w:sz w:val="20"/>
                <w:szCs w:val="20"/>
                <w:lang w:val="en-US"/>
              </w:rPr>
              <w:t xml:space="preserve"> Title</w:t>
            </w:r>
          </w:p>
        </w:tc>
      </w:tr>
      <w:tr w:rsidR="004066FB" w:rsidRPr="00AE1338" w14:paraId="05B9D412" w14:textId="77777777" w:rsidTr="00240855">
        <w:trPr>
          <w:jc w:val="center"/>
        </w:trPr>
        <w:tc>
          <w:tcPr>
            <w:tcW w:w="1696" w:type="dxa"/>
            <w:vAlign w:val="center"/>
          </w:tcPr>
          <w:p w14:paraId="7A578208" w14:textId="6CAD66BB" w:rsid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09:00–09:20</w:t>
            </w:r>
          </w:p>
        </w:tc>
        <w:tc>
          <w:tcPr>
            <w:tcW w:w="1701" w:type="dxa"/>
            <w:vAlign w:val="center"/>
          </w:tcPr>
          <w:p w14:paraId="0A245F2D" w14:textId="00F5F3D6"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65</w:t>
            </w:r>
          </w:p>
        </w:tc>
        <w:tc>
          <w:tcPr>
            <w:tcW w:w="6339" w:type="dxa"/>
            <w:vAlign w:val="center"/>
          </w:tcPr>
          <w:p w14:paraId="3063F4F9" w14:textId="76981834"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Analysis of Socio-Technical Aspects in the Implementation of Personal Data Protection in e Government Applications: A Case Study in the Bangka Belitung Islands Province</w:t>
            </w:r>
          </w:p>
        </w:tc>
      </w:tr>
      <w:tr w:rsidR="004066FB" w:rsidRPr="00AE1338" w14:paraId="1CE71629" w14:textId="77777777" w:rsidTr="00F5539C">
        <w:trPr>
          <w:jc w:val="center"/>
        </w:trPr>
        <w:tc>
          <w:tcPr>
            <w:tcW w:w="1696" w:type="dxa"/>
            <w:vAlign w:val="center"/>
          </w:tcPr>
          <w:p w14:paraId="45096153" w14:textId="7FB85242"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09:20–09:40</w:t>
            </w:r>
          </w:p>
        </w:tc>
        <w:tc>
          <w:tcPr>
            <w:tcW w:w="1701" w:type="dxa"/>
            <w:vAlign w:val="center"/>
          </w:tcPr>
          <w:p w14:paraId="13E77C21" w14:textId="5F65FDB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66</w:t>
            </w:r>
          </w:p>
        </w:tc>
        <w:tc>
          <w:tcPr>
            <w:tcW w:w="6339" w:type="dxa"/>
            <w:vAlign w:val="center"/>
          </w:tcPr>
          <w:p w14:paraId="3291C2B3" w14:textId="59A9DC2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 xml:space="preserve">Examining The Impact Of AI-Driven Marketing Strategies </w:t>
            </w:r>
            <w:proofErr w:type="gramStart"/>
            <w:r>
              <w:rPr>
                <w:rFonts w:ascii="Arial" w:hAnsi="Arial" w:cs="Arial"/>
                <w:color w:val="000000"/>
                <w:sz w:val="20"/>
                <w:szCs w:val="20"/>
              </w:rPr>
              <w:t>On</w:t>
            </w:r>
            <w:proofErr w:type="gramEnd"/>
            <w:r>
              <w:rPr>
                <w:rFonts w:ascii="Arial" w:hAnsi="Arial" w:cs="Arial"/>
                <w:color w:val="000000"/>
                <w:sz w:val="20"/>
                <w:szCs w:val="20"/>
              </w:rPr>
              <w:t xml:space="preserve"> Consumer Purchase Decisions </w:t>
            </w:r>
            <w:proofErr w:type="gramStart"/>
            <w:r>
              <w:rPr>
                <w:rFonts w:ascii="Arial" w:hAnsi="Arial" w:cs="Arial"/>
                <w:color w:val="000000"/>
                <w:sz w:val="20"/>
                <w:szCs w:val="20"/>
              </w:rPr>
              <w:t>In</w:t>
            </w:r>
            <w:proofErr w:type="gramEnd"/>
            <w:r>
              <w:rPr>
                <w:rFonts w:ascii="Arial" w:hAnsi="Arial" w:cs="Arial"/>
                <w:color w:val="000000"/>
                <w:sz w:val="20"/>
                <w:szCs w:val="20"/>
              </w:rPr>
              <w:t xml:space="preserve"> Southeast Asia: A Case Study </w:t>
            </w:r>
            <w:proofErr w:type="gramStart"/>
            <w:r>
              <w:rPr>
                <w:rFonts w:ascii="Arial" w:hAnsi="Arial" w:cs="Arial"/>
                <w:color w:val="000000"/>
                <w:sz w:val="20"/>
                <w:szCs w:val="20"/>
              </w:rPr>
              <w:t>Of</w:t>
            </w:r>
            <w:proofErr w:type="gramEnd"/>
            <w:r>
              <w:rPr>
                <w:rFonts w:ascii="Arial" w:hAnsi="Arial" w:cs="Arial"/>
                <w:color w:val="000000"/>
                <w:sz w:val="20"/>
                <w:szCs w:val="20"/>
              </w:rPr>
              <w:t xml:space="preserve"> Fast Fashion</w:t>
            </w:r>
          </w:p>
        </w:tc>
      </w:tr>
      <w:tr w:rsidR="004066FB" w:rsidRPr="00AE1338" w14:paraId="0E52C0BB" w14:textId="77777777" w:rsidTr="00F5539C">
        <w:trPr>
          <w:jc w:val="center"/>
        </w:trPr>
        <w:tc>
          <w:tcPr>
            <w:tcW w:w="1696" w:type="dxa"/>
            <w:vAlign w:val="center"/>
          </w:tcPr>
          <w:p w14:paraId="6849E128" w14:textId="615C9971"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09:40–10:00</w:t>
            </w:r>
          </w:p>
        </w:tc>
        <w:tc>
          <w:tcPr>
            <w:tcW w:w="1701" w:type="dxa"/>
            <w:vAlign w:val="center"/>
          </w:tcPr>
          <w:p w14:paraId="754FB98F" w14:textId="0EF9DA36"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67</w:t>
            </w:r>
          </w:p>
        </w:tc>
        <w:tc>
          <w:tcPr>
            <w:tcW w:w="6339" w:type="dxa"/>
            <w:vAlign w:val="center"/>
          </w:tcPr>
          <w:p w14:paraId="0E8E90B9" w14:textId="023F435A"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 xml:space="preserve">Optimizing Scheduling Systems </w:t>
            </w:r>
            <w:proofErr w:type="gramStart"/>
            <w:r>
              <w:rPr>
                <w:rFonts w:ascii="Arial" w:hAnsi="Arial" w:cs="Arial"/>
                <w:color w:val="000000"/>
                <w:sz w:val="20"/>
                <w:szCs w:val="20"/>
              </w:rPr>
              <w:t>For</w:t>
            </w:r>
            <w:proofErr w:type="gramEnd"/>
            <w:r>
              <w:rPr>
                <w:rFonts w:ascii="Arial" w:hAnsi="Arial" w:cs="Arial"/>
                <w:color w:val="000000"/>
                <w:sz w:val="20"/>
                <w:szCs w:val="20"/>
              </w:rPr>
              <w:t xml:space="preserve"> Agribusiness SME’s Using AI-Based Decision Support Systems</w:t>
            </w:r>
          </w:p>
        </w:tc>
      </w:tr>
      <w:tr w:rsidR="004066FB" w:rsidRPr="00AE1338" w14:paraId="5718307E" w14:textId="77777777" w:rsidTr="00240855">
        <w:trPr>
          <w:jc w:val="center"/>
        </w:trPr>
        <w:tc>
          <w:tcPr>
            <w:tcW w:w="1696" w:type="dxa"/>
            <w:vAlign w:val="center"/>
          </w:tcPr>
          <w:p w14:paraId="17B89044" w14:textId="5B2AEE05"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10:00–10:20</w:t>
            </w:r>
          </w:p>
        </w:tc>
        <w:tc>
          <w:tcPr>
            <w:tcW w:w="1701" w:type="dxa"/>
            <w:vAlign w:val="center"/>
          </w:tcPr>
          <w:p w14:paraId="1E833B60" w14:textId="7658E3F3"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76</w:t>
            </w:r>
          </w:p>
        </w:tc>
        <w:tc>
          <w:tcPr>
            <w:tcW w:w="6339" w:type="dxa"/>
            <w:vAlign w:val="center"/>
          </w:tcPr>
          <w:p w14:paraId="2B898DF8" w14:textId="368127DA"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Combating Imbalanced Data in the Internet of Things Intrusion Detection Systems: A Cascade Model Approach</w:t>
            </w:r>
          </w:p>
        </w:tc>
      </w:tr>
      <w:tr w:rsidR="004066FB" w:rsidRPr="00AE1338" w14:paraId="2CB68F91" w14:textId="77777777" w:rsidTr="00240855">
        <w:trPr>
          <w:jc w:val="center"/>
        </w:trPr>
        <w:tc>
          <w:tcPr>
            <w:tcW w:w="1696" w:type="dxa"/>
            <w:vAlign w:val="center"/>
          </w:tcPr>
          <w:p w14:paraId="560943F7" w14:textId="4BAA980A"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lastRenderedPageBreak/>
              <w:t>10:20–10:40</w:t>
            </w:r>
          </w:p>
        </w:tc>
        <w:tc>
          <w:tcPr>
            <w:tcW w:w="1701" w:type="dxa"/>
            <w:vAlign w:val="center"/>
          </w:tcPr>
          <w:p w14:paraId="3C812DAD" w14:textId="771B6262"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80</w:t>
            </w:r>
          </w:p>
        </w:tc>
        <w:tc>
          <w:tcPr>
            <w:tcW w:w="6339" w:type="dxa"/>
            <w:vAlign w:val="center"/>
          </w:tcPr>
          <w:p w14:paraId="42C2229C" w14:textId="68A125EE"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 Systematic Literature Review of Machine Learning and Deep Learning Approaches for Credit Card Fraud Detection: Focus on Dataset Generalizability</w:t>
            </w:r>
          </w:p>
        </w:tc>
      </w:tr>
      <w:tr w:rsidR="004066FB" w:rsidRPr="00AE1338" w14:paraId="7B8F9C29" w14:textId="77777777" w:rsidTr="00240855">
        <w:trPr>
          <w:jc w:val="center"/>
        </w:trPr>
        <w:tc>
          <w:tcPr>
            <w:tcW w:w="1696" w:type="dxa"/>
            <w:vAlign w:val="center"/>
          </w:tcPr>
          <w:p w14:paraId="72AE7FCB" w14:textId="55276FF2"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10:40–11:00</w:t>
            </w:r>
          </w:p>
        </w:tc>
        <w:tc>
          <w:tcPr>
            <w:tcW w:w="1701" w:type="dxa"/>
            <w:vAlign w:val="center"/>
          </w:tcPr>
          <w:p w14:paraId="2B6991F2" w14:textId="6CCAB2BE"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87</w:t>
            </w:r>
          </w:p>
        </w:tc>
        <w:tc>
          <w:tcPr>
            <w:tcW w:w="6339" w:type="dxa"/>
            <w:vAlign w:val="center"/>
          </w:tcPr>
          <w:p w14:paraId="0C10CCDB" w14:textId="7AFAAFDF"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Key Implementation Factors for Generative Artificial Intelligence (GenAI) in Knowledge Work: Productivity, Work Transformation, and Governance Perspectives</w:t>
            </w:r>
          </w:p>
        </w:tc>
      </w:tr>
      <w:tr w:rsidR="004066FB" w:rsidRPr="00AE1338" w14:paraId="077120F5" w14:textId="77777777" w:rsidTr="00240855">
        <w:trPr>
          <w:jc w:val="center"/>
        </w:trPr>
        <w:tc>
          <w:tcPr>
            <w:tcW w:w="1696" w:type="dxa"/>
            <w:vAlign w:val="center"/>
          </w:tcPr>
          <w:p w14:paraId="4F66D059" w14:textId="10F90520"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11:00–11:20</w:t>
            </w:r>
          </w:p>
        </w:tc>
        <w:tc>
          <w:tcPr>
            <w:tcW w:w="1701" w:type="dxa"/>
            <w:vAlign w:val="center"/>
          </w:tcPr>
          <w:p w14:paraId="3653BF1F" w14:textId="1244B0DF"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88</w:t>
            </w:r>
          </w:p>
        </w:tc>
        <w:tc>
          <w:tcPr>
            <w:tcW w:w="6339" w:type="dxa"/>
            <w:vAlign w:val="center"/>
          </w:tcPr>
          <w:p w14:paraId="45D7EB77" w14:textId="3149A20C"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 xml:space="preserve">The Influence </w:t>
            </w:r>
            <w:proofErr w:type="gramStart"/>
            <w:r>
              <w:rPr>
                <w:rFonts w:ascii="Arial" w:hAnsi="Arial" w:cs="Arial"/>
                <w:color w:val="000000"/>
                <w:sz w:val="20"/>
                <w:szCs w:val="20"/>
              </w:rPr>
              <w:t>Of</w:t>
            </w:r>
            <w:proofErr w:type="gramEnd"/>
            <w:r>
              <w:rPr>
                <w:rFonts w:ascii="Arial" w:hAnsi="Arial" w:cs="Arial"/>
                <w:color w:val="000000"/>
                <w:sz w:val="20"/>
                <w:szCs w:val="20"/>
              </w:rPr>
              <w:t xml:space="preserve"> Artificial Intelligence Adoption on Audit Quality with Technology Acceptance Factors as determinants</w:t>
            </w:r>
          </w:p>
        </w:tc>
      </w:tr>
      <w:tr w:rsidR="004066FB" w:rsidRPr="00AE1338" w14:paraId="31DE0A62" w14:textId="77777777" w:rsidTr="00240855">
        <w:trPr>
          <w:jc w:val="center"/>
        </w:trPr>
        <w:tc>
          <w:tcPr>
            <w:tcW w:w="1696" w:type="dxa"/>
            <w:vAlign w:val="center"/>
          </w:tcPr>
          <w:p w14:paraId="1A09F9A0" w14:textId="6F4834F4"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11:20–11:40</w:t>
            </w:r>
          </w:p>
        </w:tc>
        <w:tc>
          <w:tcPr>
            <w:tcW w:w="1701" w:type="dxa"/>
            <w:vAlign w:val="center"/>
          </w:tcPr>
          <w:p w14:paraId="0BBA1F75" w14:textId="2B4790E6"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93</w:t>
            </w:r>
          </w:p>
        </w:tc>
        <w:tc>
          <w:tcPr>
            <w:tcW w:w="6339" w:type="dxa"/>
            <w:vAlign w:val="center"/>
          </w:tcPr>
          <w:p w14:paraId="7E55850C" w14:textId="3CFE68F9"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Impact of Artificial Intelligence Knowledge and Perception on Accounting Students’ Career Readiness in the Digital Era</w:t>
            </w:r>
          </w:p>
        </w:tc>
      </w:tr>
      <w:tr w:rsidR="004066FB" w:rsidRPr="00AE1338" w14:paraId="11045301" w14:textId="77777777" w:rsidTr="00240855">
        <w:trPr>
          <w:jc w:val="center"/>
        </w:trPr>
        <w:tc>
          <w:tcPr>
            <w:tcW w:w="1696" w:type="dxa"/>
            <w:vAlign w:val="center"/>
          </w:tcPr>
          <w:p w14:paraId="2E41102B" w14:textId="4EA99669"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11:40–12:00</w:t>
            </w:r>
          </w:p>
        </w:tc>
        <w:tc>
          <w:tcPr>
            <w:tcW w:w="1701" w:type="dxa"/>
            <w:vAlign w:val="center"/>
          </w:tcPr>
          <w:p w14:paraId="11160ECD" w14:textId="6652818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96</w:t>
            </w:r>
          </w:p>
        </w:tc>
        <w:tc>
          <w:tcPr>
            <w:tcW w:w="6339" w:type="dxa"/>
            <w:vAlign w:val="center"/>
          </w:tcPr>
          <w:p w14:paraId="16428566" w14:textId="063EEE7C"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Driven by Data, Moved by Value: Understanding Consumer Responses to AI-Driven Advertising in E-Commerce</w:t>
            </w:r>
          </w:p>
        </w:tc>
      </w:tr>
      <w:tr w:rsidR="004066FB" w:rsidRPr="00AE1338" w14:paraId="58E6BCAA" w14:textId="77777777" w:rsidTr="00240855">
        <w:trPr>
          <w:jc w:val="center"/>
        </w:trPr>
        <w:tc>
          <w:tcPr>
            <w:tcW w:w="1696" w:type="dxa"/>
            <w:vAlign w:val="center"/>
          </w:tcPr>
          <w:p w14:paraId="6DF102A3" w14:textId="16353E17"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w:t>
            </w:r>
            <w:r>
              <w:rPr>
                <w:rFonts w:ascii="Arial" w:hAnsi="Arial" w:cs="Arial"/>
                <w:b/>
                <w:bCs/>
                <w:color w:val="000000"/>
                <w:sz w:val="20"/>
                <w:szCs w:val="20"/>
              </w:rPr>
              <w:t>2</w:t>
            </w:r>
            <w:r w:rsidRPr="004066FB">
              <w:rPr>
                <w:rFonts w:ascii="Arial" w:hAnsi="Arial" w:cs="Arial"/>
                <w:b/>
                <w:bCs/>
                <w:color w:val="000000"/>
                <w:sz w:val="20"/>
                <w:szCs w:val="20"/>
              </w:rPr>
              <w:t>:00–1</w:t>
            </w:r>
            <w:r>
              <w:rPr>
                <w:rFonts w:ascii="Arial" w:hAnsi="Arial" w:cs="Arial"/>
                <w:b/>
                <w:bCs/>
                <w:color w:val="000000"/>
                <w:sz w:val="20"/>
                <w:szCs w:val="20"/>
              </w:rPr>
              <w:t>2</w:t>
            </w:r>
            <w:r w:rsidRPr="004066FB">
              <w:rPr>
                <w:rFonts w:ascii="Arial" w:hAnsi="Arial" w:cs="Arial"/>
                <w:b/>
                <w:bCs/>
                <w:color w:val="000000"/>
                <w:sz w:val="20"/>
                <w:szCs w:val="20"/>
              </w:rPr>
              <w:t>:20</w:t>
            </w:r>
          </w:p>
        </w:tc>
        <w:tc>
          <w:tcPr>
            <w:tcW w:w="1701" w:type="dxa"/>
            <w:vAlign w:val="center"/>
          </w:tcPr>
          <w:p w14:paraId="51FF06AC" w14:textId="374FBC8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97</w:t>
            </w:r>
          </w:p>
        </w:tc>
        <w:tc>
          <w:tcPr>
            <w:tcW w:w="6339" w:type="dxa"/>
            <w:vAlign w:val="center"/>
          </w:tcPr>
          <w:p w14:paraId="3FAFDE0F" w14:textId="08FF4FD9"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Artificial Intelligence Adoption and ESG Controversies: Evidence from Southeast Asian Manufacturing Companies</w:t>
            </w:r>
          </w:p>
        </w:tc>
      </w:tr>
    </w:tbl>
    <w:p w14:paraId="1A7BBACE" w14:textId="77777777" w:rsidR="00C27350" w:rsidRDefault="00C27350" w:rsidP="00A51969">
      <w:pPr>
        <w:spacing w:after="0" w:line="240" w:lineRule="auto"/>
        <w:rPr>
          <w:rFonts w:ascii="Arial" w:hAnsi="Arial" w:cs="Arial"/>
          <w:b/>
          <w:bCs/>
          <w:sz w:val="20"/>
          <w:szCs w:val="20"/>
          <w:lang w:val="en-US"/>
        </w:rPr>
      </w:pPr>
    </w:p>
    <w:p w14:paraId="203FE054" w14:textId="77777777" w:rsidR="008959E8" w:rsidRDefault="008959E8" w:rsidP="00A51969">
      <w:pPr>
        <w:spacing w:after="0" w:line="240" w:lineRule="auto"/>
        <w:rPr>
          <w:rFonts w:ascii="Arial" w:hAnsi="Arial" w:cs="Arial"/>
          <w:b/>
          <w:bCs/>
          <w:sz w:val="20"/>
          <w:szCs w:val="20"/>
          <w:lang w:val="en-US"/>
        </w:rPr>
      </w:pPr>
    </w:p>
    <w:p w14:paraId="505494B6" w14:textId="77777777" w:rsidR="008959E8" w:rsidRDefault="008959E8" w:rsidP="00A51969">
      <w:pPr>
        <w:spacing w:after="0" w:line="240" w:lineRule="auto"/>
        <w:rPr>
          <w:rFonts w:ascii="Arial" w:hAnsi="Arial" w:cs="Arial"/>
          <w:b/>
          <w:bCs/>
          <w:sz w:val="20"/>
          <w:szCs w:val="20"/>
          <w:lang w:val="en-US"/>
        </w:rPr>
      </w:pPr>
    </w:p>
    <w:p w14:paraId="5C222A26" w14:textId="77777777" w:rsidR="008959E8" w:rsidRDefault="008959E8" w:rsidP="00A51969">
      <w:pPr>
        <w:spacing w:after="0" w:line="240" w:lineRule="auto"/>
        <w:rPr>
          <w:rFonts w:ascii="Arial" w:hAnsi="Arial" w:cs="Arial"/>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6339"/>
      </w:tblGrid>
      <w:tr w:rsidR="002A356F" w:rsidRPr="00AE1338" w14:paraId="030F1301" w14:textId="77777777" w:rsidTr="007C6E48">
        <w:trPr>
          <w:jc w:val="center"/>
        </w:trPr>
        <w:tc>
          <w:tcPr>
            <w:tcW w:w="0" w:type="auto"/>
            <w:gridSpan w:val="3"/>
            <w:vAlign w:val="center"/>
          </w:tcPr>
          <w:p w14:paraId="330C3CEB" w14:textId="663F399B" w:rsidR="002A356F" w:rsidRPr="00AE1338" w:rsidRDefault="002A356F" w:rsidP="00A51969">
            <w:pPr>
              <w:spacing w:after="0" w:line="240" w:lineRule="auto"/>
              <w:jc w:val="right"/>
              <w:rPr>
                <w:rFonts w:ascii="Arial" w:hAnsi="Arial" w:cs="Arial"/>
                <w:b/>
                <w:bCs/>
                <w:sz w:val="20"/>
                <w:szCs w:val="20"/>
                <w:lang w:val="en-US"/>
              </w:rPr>
            </w:pPr>
            <w:r>
              <w:rPr>
                <w:rFonts w:ascii="Arial" w:hAnsi="Arial" w:cs="Arial"/>
                <w:b/>
                <w:bCs/>
                <w:sz w:val="20"/>
                <w:szCs w:val="20"/>
                <w:lang w:val="en-US"/>
              </w:rPr>
              <w:t>20</w:t>
            </w:r>
            <w:r w:rsidRPr="00AE1338">
              <w:rPr>
                <w:rFonts w:ascii="Arial" w:hAnsi="Arial" w:cs="Arial"/>
                <w:b/>
                <w:bCs/>
                <w:sz w:val="20"/>
                <w:szCs w:val="20"/>
                <w:vertAlign w:val="superscript"/>
                <w:lang w:val="en-US"/>
              </w:rPr>
              <w:t>th</w:t>
            </w:r>
            <w:r w:rsidRPr="00AE1338">
              <w:rPr>
                <w:rFonts w:ascii="Arial" w:hAnsi="Arial" w:cs="Arial"/>
                <w:b/>
                <w:bCs/>
                <w:sz w:val="20"/>
                <w:szCs w:val="20"/>
                <w:lang w:val="en-US"/>
              </w:rPr>
              <w:t xml:space="preserve"> August 2025</w:t>
            </w:r>
          </w:p>
          <w:p w14:paraId="7789C78E" w14:textId="25F8BF0C" w:rsidR="002A356F" w:rsidRPr="00AE1338" w:rsidRDefault="00971246"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Parallel Session </w:t>
            </w:r>
            <w:r w:rsidR="002A356F">
              <w:rPr>
                <w:rFonts w:ascii="Arial" w:hAnsi="Arial" w:cs="Arial"/>
                <w:b/>
                <w:bCs/>
                <w:sz w:val="20"/>
                <w:szCs w:val="20"/>
                <w:lang w:val="en-US"/>
              </w:rPr>
              <w:t>F</w:t>
            </w:r>
          </w:p>
          <w:p w14:paraId="7BB977A9" w14:textId="142F01CA" w:rsidR="002A356F" w:rsidRPr="00AE1338" w:rsidRDefault="002A356F"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Session Chair:</w:t>
            </w:r>
            <w:r>
              <w:rPr>
                <w:rFonts w:ascii="Arial" w:hAnsi="Arial" w:cs="Arial"/>
                <w:b/>
                <w:bCs/>
                <w:sz w:val="20"/>
                <w:szCs w:val="20"/>
                <w:lang w:val="en-US"/>
              </w:rPr>
              <w:t xml:space="preserve"> </w:t>
            </w:r>
            <w:r w:rsidR="00820D15" w:rsidRPr="00820D15">
              <w:rPr>
                <w:rFonts w:ascii="Arial" w:hAnsi="Arial" w:cs="Arial"/>
                <w:b/>
                <w:bCs/>
                <w:sz w:val="20"/>
                <w:szCs w:val="20"/>
                <w:lang w:val="en-US"/>
              </w:rPr>
              <w:t xml:space="preserve">Buce Trias Hanggara, </w:t>
            </w:r>
            <w:proofErr w:type="gramStart"/>
            <w:r w:rsidR="00820D15" w:rsidRPr="00820D15">
              <w:rPr>
                <w:rFonts w:ascii="Arial" w:hAnsi="Arial" w:cs="Arial"/>
                <w:b/>
                <w:bCs/>
                <w:sz w:val="20"/>
                <w:szCs w:val="20"/>
                <w:lang w:val="en-US"/>
              </w:rPr>
              <w:t>S.Kom</w:t>
            </w:r>
            <w:proofErr w:type="gramEnd"/>
            <w:r w:rsidR="00820D15" w:rsidRPr="00820D15">
              <w:rPr>
                <w:rFonts w:ascii="Arial" w:hAnsi="Arial" w:cs="Arial"/>
                <w:b/>
                <w:bCs/>
                <w:sz w:val="20"/>
                <w:szCs w:val="20"/>
                <w:lang w:val="en-US"/>
              </w:rPr>
              <w:t xml:space="preserve">., </w:t>
            </w:r>
            <w:proofErr w:type="gramStart"/>
            <w:r w:rsidR="00820D15" w:rsidRPr="00820D15">
              <w:rPr>
                <w:rFonts w:ascii="Arial" w:hAnsi="Arial" w:cs="Arial"/>
                <w:b/>
                <w:bCs/>
                <w:sz w:val="20"/>
                <w:szCs w:val="20"/>
                <w:lang w:val="en-US"/>
              </w:rPr>
              <w:t>M.Kom</w:t>
            </w:r>
            <w:proofErr w:type="gramEnd"/>
          </w:p>
          <w:p w14:paraId="15308FF3" w14:textId="77777777" w:rsidR="002A356F" w:rsidRPr="00AE1338" w:rsidRDefault="002A356F"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 xml:space="preserve">Location: </w:t>
            </w:r>
            <w:r>
              <w:rPr>
                <w:rFonts w:ascii="Arial" w:hAnsi="Arial" w:cs="Arial"/>
                <w:b/>
                <w:bCs/>
                <w:sz w:val="20"/>
                <w:szCs w:val="20"/>
                <w:lang w:val="en-US"/>
              </w:rPr>
              <w:t xml:space="preserve">Online </w:t>
            </w:r>
          </w:p>
        </w:tc>
      </w:tr>
      <w:tr w:rsidR="004B65CC" w:rsidRPr="00AE1338" w14:paraId="0A4A58A2" w14:textId="77777777" w:rsidTr="007C6E48">
        <w:trPr>
          <w:jc w:val="center"/>
        </w:trPr>
        <w:tc>
          <w:tcPr>
            <w:tcW w:w="1696" w:type="dxa"/>
            <w:vAlign w:val="center"/>
          </w:tcPr>
          <w:p w14:paraId="7458C9E7" w14:textId="77777777" w:rsidR="004B65CC" w:rsidRPr="00AE1338" w:rsidRDefault="004B65C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Time (Istanbul Turkiye)</w:t>
            </w:r>
          </w:p>
        </w:tc>
        <w:tc>
          <w:tcPr>
            <w:tcW w:w="1701" w:type="dxa"/>
            <w:vAlign w:val="center"/>
          </w:tcPr>
          <w:p w14:paraId="0D469A22" w14:textId="32A7FDCF"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Paper </w:t>
            </w:r>
            <w:r>
              <w:rPr>
                <w:rFonts w:ascii="Arial" w:hAnsi="Arial" w:cs="Arial"/>
                <w:b/>
                <w:bCs/>
                <w:sz w:val="20"/>
                <w:szCs w:val="20"/>
                <w:lang w:val="en-US"/>
              </w:rPr>
              <w:t>ID</w:t>
            </w:r>
          </w:p>
        </w:tc>
        <w:tc>
          <w:tcPr>
            <w:tcW w:w="6339" w:type="dxa"/>
            <w:vAlign w:val="center"/>
          </w:tcPr>
          <w:p w14:paraId="6893D474" w14:textId="07408D6D"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Paper</w:t>
            </w:r>
            <w:r>
              <w:rPr>
                <w:rFonts w:ascii="Arial" w:hAnsi="Arial" w:cs="Arial"/>
                <w:b/>
                <w:bCs/>
                <w:sz w:val="20"/>
                <w:szCs w:val="20"/>
                <w:lang w:val="en-US"/>
              </w:rPr>
              <w:t xml:space="preserve"> Title</w:t>
            </w:r>
          </w:p>
        </w:tc>
      </w:tr>
      <w:tr w:rsidR="004066FB" w:rsidRPr="00AE1338" w14:paraId="70455003" w14:textId="77777777" w:rsidTr="00707EBD">
        <w:trPr>
          <w:jc w:val="center"/>
        </w:trPr>
        <w:tc>
          <w:tcPr>
            <w:tcW w:w="1696" w:type="dxa"/>
            <w:vAlign w:val="center"/>
          </w:tcPr>
          <w:p w14:paraId="6137074E" w14:textId="2CFAE966" w:rsid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09:00–09:20</w:t>
            </w:r>
          </w:p>
        </w:tc>
        <w:tc>
          <w:tcPr>
            <w:tcW w:w="1701" w:type="dxa"/>
            <w:vAlign w:val="center"/>
          </w:tcPr>
          <w:p w14:paraId="17202DFB" w14:textId="777EAA1F"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98</w:t>
            </w:r>
          </w:p>
        </w:tc>
        <w:tc>
          <w:tcPr>
            <w:tcW w:w="6339" w:type="dxa"/>
            <w:vAlign w:val="center"/>
          </w:tcPr>
          <w:p w14:paraId="4890A636" w14:textId="51514F56"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AI-Enabled Digital Transformation for Sustainable Financial Performance: Evidence from Indonesia’s Energy and and Mining Sectors</w:t>
            </w:r>
          </w:p>
        </w:tc>
      </w:tr>
      <w:tr w:rsidR="004066FB" w:rsidRPr="00AE1338" w14:paraId="6DA586A7" w14:textId="77777777" w:rsidTr="00707EBD">
        <w:trPr>
          <w:jc w:val="center"/>
        </w:trPr>
        <w:tc>
          <w:tcPr>
            <w:tcW w:w="1696" w:type="dxa"/>
            <w:vAlign w:val="center"/>
          </w:tcPr>
          <w:p w14:paraId="2E1B8099" w14:textId="04549214"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09:20–09:40</w:t>
            </w:r>
          </w:p>
        </w:tc>
        <w:tc>
          <w:tcPr>
            <w:tcW w:w="1701" w:type="dxa"/>
            <w:vAlign w:val="center"/>
          </w:tcPr>
          <w:p w14:paraId="70212AA5" w14:textId="375D7B9F"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99</w:t>
            </w:r>
          </w:p>
        </w:tc>
        <w:tc>
          <w:tcPr>
            <w:tcW w:w="6339" w:type="dxa"/>
            <w:vAlign w:val="center"/>
          </w:tcPr>
          <w:p w14:paraId="436DFD91" w14:textId="185C5363"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Impact of Green Intelligence to ESG Scores in the ASEAN Banking Sector (2020-2024)</w:t>
            </w:r>
          </w:p>
        </w:tc>
      </w:tr>
      <w:tr w:rsidR="004066FB" w:rsidRPr="00AE1338" w14:paraId="35169D7C" w14:textId="77777777" w:rsidTr="00707EBD">
        <w:trPr>
          <w:jc w:val="center"/>
        </w:trPr>
        <w:tc>
          <w:tcPr>
            <w:tcW w:w="1696" w:type="dxa"/>
            <w:vAlign w:val="center"/>
          </w:tcPr>
          <w:p w14:paraId="022BB2DA" w14:textId="08DB524D"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09:40–10:00</w:t>
            </w:r>
          </w:p>
        </w:tc>
        <w:tc>
          <w:tcPr>
            <w:tcW w:w="1701" w:type="dxa"/>
            <w:vAlign w:val="center"/>
          </w:tcPr>
          <w:p w14:paraId="6179042C" w14:textId="28F7C187"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100</w:t>
            </w:r>
          </w:p>
        </w:tc>
        <w:tc>
          <w:tcPr>
            <w:tcW w:w="6339" w:type="dxa"/>
            <w:vAlign w:val="center"/>
          </w:tcPr>
          <w:p w14:paraId="7AA207EA" w14:textId="43C8133D"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Digital Transformation and Carbon Emissions in Firm Value and Firm Performance on Energy and Utilities Sector in ASEAN</w:t>
            </w:r>
          </w:p>
        </w:tc>
      </w:tr>
      <w:tr w:rsidR="004066FB" w:rsidRPr="00AE1338" w14:paraId="3311DE0F" w14:textId="77777777" w:rsidTr="00707EBD">
        <w:trPr>
          <w:jc w:val="center"/>
        </w:trPr>
        <w:tc>
          <w:tcPr>
            <w:tcW w:w="1696" w:type="dxa"/>
            <w:vAlign w:val="center"/>
          </w:tcPr>
          <w:p w14:paraId="3FA47317" w14:textId="1BA60235"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10:00–10:20</w:t>
            </w:r>
          </w:p>
        </w:tc>
        <w:tc>
          <w:tcPr>
            <w:tcW w:w="1701" w:type="dxa"/>
            <w:vAlign w:val="center"/>
          </w:tcPr>
          <w:p w14:paraId="22E0196A" w14:textId="6D96D1AA"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101</w:t>
            </w:r>
          </w:p>
        </w:tc>
        <w:tc>
          <w:tcPr>
            <w:tcW w:w="6339" w:type="dxa"/>
            <w:vAlign w:val="center"/>
          </w:tcPr>
          <w:p w14:paraId="0A3BCC1B" w14:textId="4DF6640A"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Drivers of ChatGPT Usage Intensity among Accounting Students in Indonesia Higher Education Institutions: The Moderating Effect of Academic Utilization</w:t>
            </w:r>
          </w:p>
        </w:tc>
      </w:tr>
      <w:tr w:rsidR="004066FB" w:rsidRPr="00AE1338" w14:paraId="5C01D4F2" w14:textId="77777777" w:rsidTr="00707EBD">
        <w:trPr>
          <w:jc w:val="center"/>
        </w:trPr>
        <w:tc>
          <w:tcPr>
            <w:tcW w:w="1696" w:type="dxa"/>
            <w:vAlign w:val="center"/>
          </w:tcPr>
          <w:p w14:paraId="4F80AC68" w14:textId="47C31BB9"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10:20–10:40</w:t>
            </w:r>
          </w:p>
        </w:tc>
        <w:tc>
          <w:tcPr>
            <w:tcW w:w="1701" w:type="dxa"/>
            <w:vAlign w:val="center"/>
          </w:tcPr>
          <w:p w14:paraId="1662EC26" w14:textId="0068A216"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102</w:t>
            </w:r>
          </w:p>
        </w:tc>
        <w:tc>
          <w:tcPr>
            <w:tcW w:w="6339" w:type="dxa"/>
            <w:vAlign w:val="center"/>
          </w:tcPr>
          <w:p w14:paraId="6C0A2387" w14:textId="491EE049"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Artificial Intelligence and Accounting Students’ Creativity, Habit, and Critical Thinking in Using Accounting Software</w:t>
            </w:r>
          </w:p>
        </w:tc>
      </w:tr>
      <w:tr w:rsidR="004066FB" w:rsidRPr="00AE1338" w14:paraId="36197BDB" w14:textId="77777777" w:rsidTr="00707EBD">
        <w:trPr>
          <w:jc w:val="center"/>
        </w:trPr>
        <w:tc>
          <w:tcPr>
            <w:tcW w:w="1696" w:type="dxa"/>
            <w:vAlign w:val="center"/>
          </w:tcPr>
          <w:p w14:paraId="4D533F20" w14:textId="05D74262"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10:40–11:00</w:t>
            </w:r>
          </w:p>
        </w:tc>
        <w:tc>
          <w:tcPr>
            <w:tcW w:w="1701" w:type="dxa"/>
            <w:vAlign w:val="center"/>
          </w:tcPr>
          <w:p w14:paraId="0DA98818" w14:textId="408F368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103</w:t>
            </w:r>
          </w:p>
        </w:tc>
        <w:tc>
          <w:tcPr>
            <w:tcW w:w="6339" w:type="dxa"/>
            <w:vAlign w:val="center"/>
          </w:tcPr>
          <w:p w14:paraId="3BD6AF8D" w14:textId="512A9687"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Integrating AI-Based Continuous Emission Monitoring Systems into Corporate Reporting and Carbon Tax Enforcement: A Comprehensive Review and Integrated Framework</w:t>
            </w:r>
          </w:p>
        </w:tc>
      </w:tr>
      <w:tr w:rsidR="004066FB" w:rsidRPr="00AE1338" w14:paraId="12AD4B19" w14:textId="77777777" w:rsidTr="00707EBD">
        <w:trPr>
          <w:jc w:val="center"/>
        </w:trPr>
        <w:tc>
          <w:tcPr>
            <w:tcW w:w="1696" w:type="dxa"/>
            <w:vAlign w:val="center"/>
          </w:tcPr>
          <w:p w14:paraId="0AB14CEA" w14:textId="420A759D"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11:00–11:20</w:t>
            </w:r>
          </w:p>
        </w:tc>
        <w:tc>
          <w:tcPr>
            <w:tcW w:w="1701" w:type="dxa"/>
            <w:vAlign w:val="center"/>
          </w:tcPr>
          <w:p w14:paraId="4EE06401" w14:textId="69DDA49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106</w:t>
            </w:r>
          </w:p>
        </w:tc>
        <w:tc>
          <w:tcPr>
            <w:tcW w:w="6339" w:type="dxa"/>
            <w:vAlign w:val="center"/>
          </w:tcPr>
          <w:p w14:paraId="116960A5" w14:textId="76FF1B4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What Drives Students to Adopt Cloud Computing? Evidence from Higher Education</w:t>
            </w:r>
          </w:p>
        </w:tc>
      </w:tr>
      <w:tr w:rsidR="004066FB" w:rsidRPr="00AE1338" w14:paraId="375C7BB1" w14:textId="77777777" w:rsidTr="00707EBD">
        <w:trPr>
          <w:jc w:val="center"/>
        </w:trPr>
        <w:tc>
          <w:tcPr>
            <w:tcW w:w="1696" w:type="dxa"/>
            <w:vAlign w:val="center"/>
          </w:tcPr>
          <w:p w14:paraId="1D26B78E" w14:textId="3B19A199"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11:20–11:40</w:t>
            </w:r>
          </w:p>
        </w:tc>
        <w:tc>
          <w:tcPr>
            <w:tcW w:w="1701" w:type="dxa"/>
            <w:vAlign w:val="center"/>
          </w:tcPr>
          <w:p w14:paraId="715C8246" w14:textId="33C55884"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108</w:t>
            </w:r>
          </w:p>
        </w:tc>
        <w:tc>
          <w:tcPr>
            <w:tcW w:w="6339" w:type="dxa"/>
            <w:vAlign w:val="center"/>
          </w:tcPr>
          <w:p w14:paraId="04FEA068" w14:textId="34E199F1"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Influence of Financial Inclusion and Environmental Responsibility on Economic Sustainability: The Mediating Role of ICT Usage in Indonesia</w:t>
            </w:r>
          </w:p>
        </w:tc>
      </w:tr>
      <w:tr w:rsidR="004066FB" w:rsidRPr="00AE1338" w14:paraId="58F1A039" w14:textId="77777777" w:rsidTr="00707EBD">
        <w:trPr>
          <w:jc w:val="center"/>
        </w:trPr>
        <w:tc>
          <w:tcPr>
            <w:tcW w:w="1696" w:type="dxa"/>
            <w:vAlign w:val="center"/>
          </w:tcPr>
          <w:p w14:paraId="7201FAD5" w14:textId="3A3AE28B"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11:40–12:00</w:t>
            </w:r>
          </w:p>
        </w:tc>
        <w:tc>
          <w:tcPr>
            <w:tcW w:w="1701" w:type="dxa"/>
            <w:vAlign w:val="center"/>
          </w:tcPr>
          <w:p w14:paraId="5100ACCC" w14:textId="4DDB9229"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109</w:t>
            </w:r>
          </w:p>
        </w:tc>
        <w:tc>
          <w:tcPr>
            <w:tcW w:w="6339" w:type="dxa"/>
            <w:vAlign w:val="center"/>
          </w:tcPr>
          <w:p w14:paraId="21F1EBD9" w14:textId="7B83000A"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AI-Based News Sentiment and Stock Market Returns in the Context of Institutional Uncertainty: Evidence from Indonesia 2023-2025</w:t>
            </w:r>
          </w:p>
        </w:tc>
      </w:tr>
      <w:tr w:rsidR="004066FB" w:rsidRPr="00AE1338" w14:paraId="7F95BC1A" w14:textId="77777777" w:rsidTr="00707EBD">
        <w:trPr>
          <w:jc w:val="center"/>
        </w:trPr>
        <w:tc>
          <w:tcPr>
            <w:tcW w:w="1696" w:type="dxa"/>
            <w:vAlign w:val="center"/>
          </w:tcPr>
          <w:p w14:paraId="489C93FB" w14:textId="43B86E81"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w:t>
            </w:r>
            <w:r>
              <w:rPr>
                <w:rFonts w:ascii="Arial" w:hAnsi="Arial" w:cs="Arial"/>
                <w:b/>
                <w:bCs/>
                <w:color w:val="000000"/>
                <w:sz w:val="20"/>
                <w:szCs w:val="20"/>
              </w:rPr>
              <w:t>2</w:t>
            </w:r>
            <w:r w:rsidRPr="004066FB">
              <w:rPr>
                <w:rFonts w:ascii="Arial" w:hAnsi="Arial" w:cs="Arial"/>
                <w:b/>
                <w:bCs/>
                <w:color w:val="000000"/>
                <w:sz w:val="20"/>
                <w:szCs w:val="20"/>
              </w:rPr>
              <w:t>:00–1</w:t>
            </w:r>
            <w:r>
              <w:rPr>
                <w:rFonts w:ascii="Arial" w:hAnsi="Arial" w:cs="Arial"/>
                <w:b/>
                <w:bCs/>
                <w:color w:val="000000"/>
                <w:sz w:val="20"/>
                <w:szCs w:val="20"/>
              </w:rPr>
              <w:t>2</w:t>
            </w:r>
            <w:r w:rsidRPr="004066FB">
              <w:rPr>
                <w:rFonts w:ascii="Arial" w:hAnsi="Arial" w:cs="Arial"/>
                <w:b/>
                <w:bCs/>
                <w:color w:val="000000"/>
                <w:sz w:val="20"/>
                <w:szCs w:val="20"/>
              </w:rPr>
              <w:t>:20</w:t>
            </w:r>
          </w:p>
        </w:tc>
        <w:tc>
          <w:tcPr>
            <w:tcW w:w="1701" w:type="dxa"/>
            <w:vAlign w:val="center"/>
          </w:tcPr>
          <w:p w14:paraId="39E5E5E4" w14:textId="6BA574F8"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110</w:t>
            </w:r>
          </w:p>
        </w:tc>
        <w:tc>
          <w:tcPr>
            <w:tcW w:w="6339" w:type="dxa"/>
            <w:vAlign w:val="center"/>
          </w:tcPr>
          <w:p w14:paraId="43B13046" w14:textId="4585392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Effect of Digital Transformation on the Financial Performance of Banks in Southeast Asia Emerging Market Countries</w:t>
            </w:r>
          </w:p>
        </w:tc>
      </w:tr>
    </w:tbl>
    <w:p w14:paraId="5E34188A" w14:textId="77777777" w:rsidR="002A356F" w:rsidRDefault="002A356F" w:rsidP="00A51969">
      <w:pPr>
        <w:spacing w:after="0" w:line="240" w:lineRule="auto"/>
        <w:rPr>
          <w:rFonts w:ascii="Arial" w:hAnsi="Arial" w:cs="Arial"/>
          <w:b/>
          <w:bCs/>
          <w:sz w:val="20"/>
          <w:szCs w:val="20"/>
          <w:lang w:val="en-US"/>
        </w:rPr>
      </w:pPr>
    </w:p>
    <w:p w14:paraId="2F720611" w14:textId="77777777" w:rsidR="008959E8" w:rsidRDefault="008959E8" w:rsidP="00A51969">
      <w:pPr>
        <w:spacing w:after="0" w:line="240" w:lineRule="auto"/>
        <w:rPr>
          <w:rFonts w:ascii="Arial" w:hAnsi="Arial" w:cs="Arial"/>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6339"/>
      </w:tblGrid>
      <w:tr w:rsidR="00A91B43" w:rsidRPr="00AE1338" w14:paraId="6780ABA7" w14:textId="77777777" w:rsidTr="007C6E48">
        <w:trPr>
          <w:jc w:val="center"/>
        </w:trPr>
        <w:tc>
          <w:tcPr>
            <w:tcW w:w="0" w:type="auto"/>
            <w:gridSpan w:val="3"/>
            <w:vAlign w:val="center"/>
          </w:tcPr>
          <w:p w14:paraId="3CC11BB0" w14:textId="77777777" w:rsidR="00A91B43" w:rsidRPr="00AE1338" w:rsidRDefault="00A91B43" w:rsidP="00A51969">
            <w:pPr>
              <w:spacing w:after="0" w:line="240" w:lineRule="auto"/>
              <w:jc w:val="right"/>
              <w:rPr>
                <w:rFonts w:ascii="Arial" w:hAnsi="Arial" w:cs="Arial"/>
                <w:b/>
                <w:bCs/>
                <w:sz w:val="20"/>
                <w:szCs w:val="20"/>
                <w:lang w:val="en-US"/>
              </w:rPr>
            </w:pPr>
            <w:r>
              <w:rPr>
                <w:rFonts w:ascii="Arial" w:hAnsi="Arial" w:cs="Arial"/>
                <w:b/>
                <w:bCs/>
                <w:sz w:val="20"/>
                <w:szCs w:val="20"/>
                <w:lang w:val="en-US"/>
              </w:rPr>
              <w:t>20</w:t>
            </w:r>
            <w:r w:rsidRPr="00AE1338">
              <w:rPr>
                <w:rFonts w:ascii="Arial" w:hAnsi="Arial" w:cs="Arial"/>
                <w:b/>
                <w:bCs/>
                <w:sz w:val="20"/>
                <w:szCs w:val="20"/>
                <w:vertAlign w:val="superscript"/>
                <w:lang w:val="en-US"/>
              </w:rPr>
              <w:t>th</w:t>
            </w:r>
            <w:r w:rsidRPr="00AE1338">
              <w:rPr>
                <w:rFonts w:ascii="Arial" w:hAnsi="Arial" w:cs="Arial"/>
                <w:b/>
                <w:bCs/>
                <w:sz w:val="20"/>
                <w:szCs w:val="20"/>
                <w:lang w:val="en-US"/>
              </w:rPr>
              <w:t xml:space="preserve"> August 2025</w:t>
            </w:r>
          </w:p>
          <w:p w14:paraId="57500D45" w14:textId="0E764814" w:rsidR="00A91B43" w:rsidRPr="00AE1338" w:rsidRDefault="00971246"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Parallel Session </w:t>
            </w:r>
            <w:r w:rsidR="00A91B43">
              <w:rPr>
                <w:rFonts w:ascii="Arial" w:hAnsi="Arial" w:cs="Arial"/>
                <w:b/>
                <w:bCs/>
                <w:sz w:val="20"/>
                <w:szCs w:val="20"/>
                <w:lang w:val="en-US"/>
              </w:rPr>
              <w:t>G</w:t>
            </w:r>
          </w:p>
          <w:p w14:paraId="351A0435" w14:textId="5D67F567" w:rsidR="00A91B43" w:rsidRPr="00AE1338" w:rsidRDefault="00A91B43"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Session Chair:</w:t>
            </w:r>
            <w:r>
              <w:rPr>
                <w:rFonts w:ascii="Arial" w:hAnsi="Arial" w:cs="Arial"/>
                <w:b/>
                <w:bCs/>
                <w:sz w:val="20"/>
                <w:szCs w:val="20"/>
                <w:lang w:val="en-US"/>
              </w:rPr>
              <w:t xml:space="preserve"> </w:t>
            </w:r>
            <w:r w:rsidR="00820D15" w:rsidRPr="00820D15">
              <w:rPr>
                <w:rFonts w:ascii="Arial" w:hAnsi="Arial" w:cs="Arial"/>
                <w:b/>
                <w:bCs/>
                <w:sz w:val="20"/>
                <w:szCs w:val="20"/>
                <w:lang w:val="en-US"/>
              </w:rPr>
              <w:t xml:space="preserve">Dr.Ir. Fajar Pradana, S.ST., </w:t>
            </w:r>
            <w:proofErr w:type="gramStart"/>
            <w:r w:rsidR="00820D15" w:rsidRPr="00820D15">
              <w:rPr>
                <w:rFonts w:ascii="Arial" w:hAnsi="Arial" w:cs="Arial"/>
                <w:b/>
                <w:bCs/>
                <w:sz w:val="20"/>
                <w:szCs w:val="20"/>
                <w:lang w:val="en-US"/>
              </w:rPr>
              <w:t>M.Eng</w:t>
            </w:r>
            <w:proofErr w:type="gramEnd"/>
          </w:p>
          <w:p w14:paraId="42202D8F" w14:textId="77777777" w:rsidR="00A91B43" w:rsidRPr="00AE1338" w:rsidRDefault="00A91B43"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 xml:space="preserve">Location: </w:t>
            </w:r>
            <w:r>
              <w:rPr>
                <w:rFonts w:ascii="Arial" w:hAnsi="Arial" w:cs="Arial"/>
                <w:b/>
                <w:bCs/>
                <w:sz w:val="20"/>
                <w:szCs w:val="20"/>
                <w:lang w:val="en-US"/>
              </w:rPr>
              <w:t xml:space="preserve">Online </w:t>
            </w:r>
          </w:p>
        </w:tc>
      </w:tr>
      <w:tr w:rsidR="004B65CC" w:rsidRPr="00AE1338" w14:paraId="1062D632" w14:textId="77777777" w:rsidTr="007C6E48">
        <w:trPr>
          <w:jc w:val="center"/>
        </w:trPr>
        <w:tc>
          <w:tcPr>
            <w:tcW w:w="1696" w:type="dxa"/>
            <w:vAlign w:val="center"/>
          </w:tcPr>
          <w:p w14:paraId="4E46044D" w14:textId="77777777" w:rsidR="004B65CC" w:rsidRPr="00AE1338" w:rsidRDefault="004B65C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Time (Istanbul Turkiye)</w:t>
            </w:r>
          </w:p>
        </w:tc>
        <w:tc>
          <w:tcPr>
            <w:tcW w:w="1701" w:type="dxa"/>
            <w:vAlign w:val="center"/>
          </w:tcPr>
          <w:p w14:paraId="6F1FE79E" w14:textId="265856C9"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Paper </w:t>
            </w:r>
            <w:r>
              <w:rPr>
                <w:rFonts w:ascii="Arial" w:hAnsi="Arial" w:cs="Arial"/>
                <w:b/>
                <w:bCs/>
                <w:sz w:val="20"/>
                <w:szCs w:val="20"/>
                <w:lang w:val="en-US"/>
              </w:rPr>
              <w:t>ID</w:t>
            </w:r>
          </w:p>
        </w:tc>
        <w:tc>
          <w:tcPr>
            <w:tcW w:w="6339" w:type="dxa"/>
            <w:vAlign w:val="center"/>
          </w:tcPr>
          <w:p w14:paraId="36059CF3" w14:textId="54E40514"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Paper</w:t>
            </w:r>
            <w:r>
              <w:rPr>
                <w:rFonts w:ascii="Arial" w:hAnsi="Arial" w:cs="Arial"/>
                <w:b/>
                <w:bCs/>
                <w:sz w:val="20"/>
                <w:szCs w:val="20"/>
                <w:lang w:val="en-US"/>
              </w:rPr>
              <w:t xml:space="preserve"> Title</w:t>
            </w:r>
          </w:p>
        </w:tc>
      </w:tr>
      <w:tr w:rsidR="004066FB" w:rsidRPr="00AE1338" w14:paraId="3D135385" w14:textId="77777777" w:rsidTr="00D21FF5">
        <w:trPr>
          <w:jc w:val="center"/>
        </w:trPr>
        <w:tc>
          <w:tcPr>
            <w:tcW w:w="1696" w:type="dxa"/>
            <w:vAlign w:val="center"/>
          </w:tcPr>
          <w:p w14:paraId="3ABFED51" w14:textId="52255548" w:rsid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09:00–09:20</w:t>
            </w:r>
          </w:p>
        </w:tc>
        <w:tc>
          <w:tcPr>
            <w:tcW w:w="1701" w:type="dxa"/>
            <w:vAlign w:val="center"/>
          </w:tcPr>
          <w:p w14:paraId="70001C42" w14:textId="0F5238E5"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111</w:t>
            </w:r>
          </w:p>
        </w:tc>
        <w:tc>
          <w:tcPr>
            <w:tcW w:w="6339" w:type="dxa"/>
            <w:vAlign w:val="center"/>
          </w:tcPr>
          <w:p w14:paraId="4F48F607" w14:textId="605D5D44"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Generative AI Use, AI Competency, and Learning Outcomes among Accounting Students: Evidence from Indonesian Higher Education</w:t>
            </w:r>
          </w:p>
        </w:tc>
      </w:tr>
      <w:tr w:rsidR="004066FB" w:rsidRPr="00AE1338" w14:paraId="65BC813E" w14:textId="77777777" w:rsidTr="00D21FF5">
        <w:trPr>
          <w:jc w:val="center"/>
        </w:trPr>
        <w:tc>
          <w:tcPr>
            <w:tcW w:w="1696" w:type="dxa"/>
            <w:vAlign w:val="center"/>
          </w:tcPr>
          <w:p w14:paraId="2977DB27" w14:textId="6F0EDC2D"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lastRenderedPageBreak/>
              <w:t>09:20–09:40</w:t>
            </w:r>
          </w:p>
        </w:tc>
        <w:tc>
          <w:tcPr>
            <w:tcW w:w="1701" w:type="dxa"/>
            <w:vAlign w:val="center"/>
          </w:tcPr>
          <w:p w14:paraId="761F25BB" w14:textId="78CFDCC1"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112</w:t>
            </w:r>
          </w:p>
        </w:tc>
        <w:tc>
          <w:tcPr>
            <w:tcW w:w="6339" w:type="dxa"/>
            <w:vAlign w:val="center"/>
          </w:tcPr>
          <w:p w14:paraId="23F76A7A" w14:textId="5954DD42"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AI-Driven Personalization and Consumer Financial Behavior: Evidence from Generation Z in Indonesia’s E-Commerce Ecosystem</w:t>
            </w:r>
          </w:p>
        </w:tc>
      </w:tr>
      <w:tr w:rsidR="004066FB" w:rsidRPr="00AE1338" w14:paraId="763AC937" w14:textId="77777777" w:rsidTr="00D21FF5">
        <w:trPr>
          <w:jc w:val="center"/>
        </w:trPr>
        <w:tc>
          <w:tcPr>
            <w:tcW w:w="1696" w:type="dxa"/>
            <w:vAlign w:val="center"/>
          </w:tcPr>
          <w:p w14:paraId="0BB706D6" w14:textId="2DEC3CBB"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09:40–10:00</w:t>
            </w:r>
          </w:p>
        </w:tc>
        <w:tc>
          <w:tcPr>
            <w:tcW w:w="1701" w:type="dxa"/>
            <w:vAlign w:val="center"/>
          </w:tcPr>
          <w:p w14:paraId="078DF505" w14:textId="27B924A4"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113</w:t>
            </w:r>
          </w:p>
        </w:tc>
        <w:tc>
          <w:tcPr>
            <w:tcW w:w="6339" w:type="dxa"/>
            <w:vAlign w:val="center"/>
          </w:tcPr>
          <w:p w14:paraId="6BFD79E9" w14:textId="04BF5E21"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Role of Trust in Robo-Advisor Systems and Per-ceived Usefulness in Shaping Retail Investors’ Behavioral Intention to Use Robo-Advisors</w:t>
            </w:r>
          </w:p>
        </w:tc>
      </w:tr>
      <w:tr w:rsidR="004066FB" w:rsidRPr="00AE1338" w14:paraId="35EA0684" w14:textId="77777777" w:rsidTr="00D21FF5">
        <w:trPr>
          <w:jc w:val="center"/>
        </w:trPr>
        <w:tc>
          <w:tcPr>
            <w:tcW w:w="1696" w:type="dxa"/>
            <w:vAlign w:val="center"/>
          </w:tcPr>
          <w:p w14:paraId="484640A3" w14:textId="42AE5614"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10:00–10:20</w:t>
            </w:r>
          </w:p>
        </w:tc>
        <w:tc>
          <w:tcPr>
            <w:tcW w:w="1701" w:type="dxa"/>
            <w:vAlign w:val="center"/>
          </w:tcPr>
          <w:p w14:paraId="4A2A7838" w14:textId="3C8AD475"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114</w:t>
            </w:r>
          </w:p>
        </w:tc>
        <w:tc>
          <w:tcPr>
            <w:tcW w:w="6339" w:type="dxa"/>
            <w:vAlign w:val="center"/>
          </w:tcPr>
          <w:p w14:paraId="5A52CF5D" w14:textId="35055662"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Effect of AI-Based Robo Advisor on Investment Decision Making Among Retailer Investors</w:t>
            </w:r>
          </w:p>
        </w:tc>
      </w:tr>
      <w:tr w:rsidR="004066FB" w:rsidRPr="00AE1338" w14:paraId="17F1D9E7" w14:textId="77777777" w:rsidTr="00D21FF5">
        <w:trPr>
          <w:jc w:val="center"/>
        </w:trPr>
        <w:tc>
          <w:tcPr>
            <w:tcW w:w="1696" w:type="dxa"/>
            <w:vAlign w:val="center"/>
          </w:tcPr>
          <w:p w14:paraId="6E08C6B9" w14:textId="05458E87"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10:20–10:40</w:t>
            </w:r>
          </w:p>
        </w:tc>
        <w:tc>
          <w:tcPr>
            <w:tcW w:w="1701" w:type="dxa"/>
            <w:vAlign w:val="center"/>
          </w:tcPr>
          <w:p w14:paraId="61BCA011" w14:textId="28CFCB3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115</w:t>
            </w:r>
          </w:p>
        </w:tc>
        <w:tc>
          <w:tcPr>
            <w:tcW w:w="6339" w:type="dxa"/>
            <w:vAlign w:val="center"/>
          </w:tcPr>
          <w:p w14:paraId="1C558591" w14:textId="46B2C542"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Role of Digital Transformation in Mitigating Tax Aggressiveness in Energy and Industrial Companies</w:t>
            </w:r>
          </w:p>
        </w:tc>
      </w:tr>
      <w:tr w:rsidR="004066FB" w:rsidRPr="00AE1338" w14:paraId="4F466545" w14:textId="77777777" w:rsidTr="00D21FF5">
        <w:trPr>
          <w:jc w:val="center"/>
        </w:trPr>
        <w:tc>
          <w:tcPr>
            <w:tcW w:w="1696" w:type="dxa"/>
            <w:vAlign w:val="center"/>
          </w:tcPr>
          <w:p w14:paraId="34413EAC" w14:textId="473CE6BE"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10:40–11:00</w:t>
            </w:r>
          </w:p>
        </w:tc>
        <w:tc>
          <w:tcPr>
            <w:tcW w:w="1701" w:type="dxa"/>
            <w:vAlign w:val="center"/>
          </w:tcPr>
          <w:p w14:paraId="460E1876" w14:textId="53464021"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116</w:t>
            </w:r>
          </w:p>
        </w:tc>
        <w:tc>
          <w:tcPr>
            <w:tcW w:w="6339" w:type="dxa"/>
            <w:vAlign w:val="center"/>
          </w:tcPr>
          <w:p w14:paraId="25CD47C0" w14:textId="491712F2"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From Fans to Victims: How Important Is Financial Literacy for Concert Ticket Cybercrime Victims?</w:t>
            </w:r>
          </w:p>
        </w:tc>
      </w:tr>
      <w:tr w:rsidR="004066FB" w:rsidRPr="00AE1338" w14:paraId="1D7859DB" w14:textId="77777777" w:rsidTr="00D21FF5">
        <w:trPr>
          <w:jc w:val="center"/>
        </w:trPr>
        <w:tc>
          <w:tcPr>
            <w:tcW w:w="1696" w:type="dxa"/>
            <w:vAlign w:val="center"/>
          </w:tcPr>
          <w:p w14:paraId="5AA7DDB5" w14:textId="177A4CCD"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11:00–11:20</w:t>
            </w:r>
          </w:p>
        </w:tc>
        <w:tc>
          <w:tcPr>
            <w:tcW w:w="1701" w:type="dxa"/>
            <w:vAlign w:val="center"/>
          </w:tcPr>
          <w:p w14:paraId="74F15A31" w14:textId="153EA968"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119</w:t>
            </w:r>
          </w:p>
        </w:tc>
        <w:tc>
          <w:tcPr>
            <w:tcW w:w="6339" w:type="dxa"/>
            <w:vAlign w:val="center"/>
          </w:tcPr>
          <w:p w14:paraId="6A1E0A27" w14:textId="1FF5A5F1"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 xml:space="preserve">Why Do We Shop Unconsciously? Exploring Parasocial Relationships with Micro-Influencers and FoMO on </w:t>
            </w:r>
            <w:proofErr w:type="gramStart"/>
            <w:r>
              <w:rPr>
                <w:rFonts w:ascii="Arial" w:hAnsi="Arial" w:cs="Arial"/>
                <w:color w:val="000000"/>
                <w:sz w:val="20"/>
                <w:szCs w:val="20"/>
              </w:rPr>
              <w:t>Social Media</w:t>
            </w:r>
            <w:proofErr w:type="gramEnd"/>
          </w:p>
        </w:tc>
      </w:tr>
      <w:tr w:rsidR="004066FB" w:rsidRPr="00AE1338" w14:paraId="4F9F511D" w14:textId="77777777" w:rsidTr="00D21FF5">
        <w:trPr>
          <w:jc w:val="center"/>
        </w:trPr>
        <w:tc>
          <w:tcPr>
            <w:tcW w:w="1696" w:type="dxa"/>
            <w:vAlign w:val="center"/>
          </w:tcPr>
          <w:p w14:paraId="2D1BD850" w14:textId="58A76AB3"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11:20–11:40</w:t>
            </w:r>
          </w:p>
        </w:tc>
        <w:tc>
          <w:tcPr>
            <w:tcW w:w="1701" w:type="dxa"/>
            <w:vAlign w:val="center"/>
          </w:tcPr>
          <w:p w14:paraId="20463FEB" w14:textId="2DEBDA01"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120</w:t>
            </w:r>
          </w:p>
        </w:tc>
        <w:tc>
          <w:tcPr>
            <w:tcW w:w="6339" w:type="dxa"/>
            <w:vAlign w:val="center"/>
          </w:tcPr>
          <w:p w14:paraId="420EDF75" w14:textId="4C172ED5"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Analyzing Impulsive Buying and Risky Indebtedness Behavior in The Use of Buy Now Pay Later (BNPL) Services</w:t>
            </w:r>
          </w:p>
        </w:tc>
      </w:tr>
      <w:tr w:rsidR="004066FB" w:rsidRPr="00AE1338" w14:paraId="5C994DE9" w14:textId="77777777" w:rsidTr="00D21FF5">
        <w:trPr>
          <w:jc w:val="center"/>
        </w:trPr>
        <w:tc>
          <w:tcPr>
            <w:tcW w:w="1696" w:type="dxa"/>
            <w:vAlign w:val="center"/>
          </w:tcPr>
          <w:p w14:paraId="2DF7958F" w14:textId="276C2578"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11:40–12:00</w:t>
            </w:r>
          </w:p>
        </w:tc>
        <w:tc>
          <w:tcPr>
            <w:tcW w:w="1701" w:type="dxa"/>
            <w:vAlign w:val="center"/>
          </w:tcPr>
          <w:p w14:paraId="0E31687E" w14:textId="306C6C62"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122</w:t>
            </w:r>
          </w:p>
        </w:tc>
        <w:tc>
          <w:tcPr>
            <w:tcW w:w="6339" w:type="dxa"/>
            <w:vAlign w:val="center"/>
          </w:tcPr>
          <w:p w14:paraId="18825F93" w14:textId="4A86BE9F"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Reframing Programming Education in the Age of Generative AI: A Critical Review of Pedagogy, Equity, Ethics, and Institutional Readiness</w:t>
            </w:r>
          </w:p>
        </w:tc>
      </w:tr>
      <w:tr w:rsidR="004066FB" w:rsidRPr="00AE1338" w14:paraId="306971BE" w14:textId="77777777" w:rsidTr="00D21FF5">
        <w:trPr>
          <w:jc w:val="center"/>
        </w:trPr>
        <w:tc>
          <w:tcPr>
            <w:tcW w:w="1696" w:type="dxa"/>
            <w:vAlign w:val="center"/>
          </w:tcPr>
          <w:p w14:paraId="004ED6BD" w14:textId="6B1B30AE"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w:t>
            </w:r>
            <w:r>
              <w:rPr>
                <w:rFonts w:ascii="Arial" w:hAnsi="Arial" w:cs="Arial"/>
                <w:b/>
                <w:bCs/>
                <w:color w:val="000000"/>
                <w:sz w:val="20"/>
                <w:szCs w:val="20"/>
              </w:rPr>
              <w:t>2</w:t>
            </w:r>
            <w:r w:rsidRPr="004066FB">
              <w:rPr>
                <w:rFonts w:ascii="Arial" w:hAnsi="Arial" w:cs="Arial"/>
                <w:b/>
                <w:bCs/>
                <w:color w:val="000000"/>
                <w:sz w:val="20"/>
                <w:szCs w:val="20"/>
              </w:rPr>
              <w:t>:00–1</w:t>
            </w:r>
            <w:r>
              <w:rPr>
                <w:rFonts w:ascii="Arial" w:hAnsi="Arial" w:cs="Arial"/>
                <w:b/>
                <w:bCs/>
                <w:color w:val="000000"/>
                <w:sz w:val="20"/>
                <w:szCs w:val="20"/>
              </w:rPr>
              <w:t>2</w:t>
            </w:r>
            <w:r w:rsidRPr="004066FB">
              <w:rPr>
                <w:rFonts w:ascii="Arial" w:hAnsi="Arial" w:cs="Arial"/>
                <w:b/>
                <w:bCs/>
                <w:color w:val="000000"/>
                <w:sz w:val="20"/>
                <w:szCs w:val="20"/>
              </w:rPr>
              <w:t>:20</w:t>
            </w:r>
          </w:p>
        </w:tc>
        <w:tc>
          <w:tcPr>
            <w:tcW w:w="1701" w:type="dxa"/>
            <w:vAlign w:val="center"/>
          </w:tcPr>
          <w:p w14:paraId="6B90C422" w14:textId="2E4BBD7E"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124</w:t>
            </w:r>
          </w:p>
        </w:tc>
        <w:tc>
          <w:tcPr>
            <w:tcW w:w="6339" w:type="dxa"/>
            <w:vAlign w:val="center"/>
          </w:tcPr>
          <w:p w14:paraId="2BC14464" w14:textId="2AB15B8C"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When Informed Capital Exits, Do Stock Prices Continue to Rise? The Role of Retail Investor Herding in Price Formation in the Indonesian Stock Market</w:t>
            </w:r>
          </w:p>
        </w:tc>
      </w:tr>
    </w:tbl>
    <w:p w14:paraId="4FC46770" w14:textId="77777777" w:rsidR="00A91B43" w:rsidRDefault="00A91B43" w:rsidP="00A51969">
      <w:pPr>
        <w:spacing w:after="0" w:line="240" w:lineRule="auto"/>
        <w:rPr>
          <w:rFonts w:ascii="Arial" w:hAnsi="Arial" w:cs="Arial"/>
          <w:b/>
          <w:bCs/>
          <w:sz w:val="20"/>
          <w:szCs w:val="20"/>
          <w:lang w:val="en-US"/>
        </w:rPr>
      </w:pPr>
    </w:p>
    <w:p w14:paraId="05AF9C53" w14:textId="77777777" w:rsidR="008959E8" w:rsidRDefault="008959E8" w:rsidP="00A51969">
      <w:pPr>
        <w:spacing w:after="0" w:line="240" w:lineRule="auto"/>
        <w:rPr>
          <w:rFonts w:ascii="Arial" w:hAnsi="Arial" w:cs="Arial"/>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6339"/>
      </w:tblGrid>
      <w:tr w:rsidR="00A91B43" w:rsidRPr="00AE1338" w14:paraId="7B86A7ED" w14:textId="77777777" w:rsidTr="007C6E48">
        <w:trPr>
          <w:jc w:val="center"/>
        </w:trPr>
        <w:tc>
          <w:tcPr>
            <w:tcW w:w="0" w:type="auto"/>
            <w:gridSpan w:val="3"/>
            <w:vAlign w:val="center"/>
          </w:tcPr>
          <w:p w14:paraId="52893F63" w14:textId="77777777" w:rsidR="00A91B43" w:rsidRPr="00AE1338" w:rsidRDefault="00A91B43" w:rsidP="00A51969">
            <w:pPr>
              <w:spacing w:after="0" w:line="240" w:lineRule="auto"/>
              <w:jc w:val="right"/>
              <w:rPr>
                <w:rFonts w:ascii="Arial" w:hAnsi="Arial" w:cs="Arial"/>
                <w:b/>
                <w:bCs/>
                <w:sz w:val="20"/>
                <w:szCs w:val="20"/>
                <w:lang w:val="en-US"/>
              </w:rPr>
            </w:pPr>
            <w:r>
              <w:rPr>
                <w:rFonts w:ascii="Arial" w:hAnsi="Arial" w:cs="Arial"/>
                <w:b/>
                <w:bCs/>
                <w:sz w:val="20"/>
                <w:szCs w:val="20"/>
                <w:lang w:val="en-US"/>
              </w:rPr>
              <w:t>20</w:t>
            </w:r>
            <w:r w:rsidRPr="00AE1338">
              <w:rPr>
                <w:rFonts w:ascii="Arial" w:hAnsi="Arial" w:cs="Arial"/>
                <w:b/>
                <w:bCs/>
                <w:sz w:val="20"/>
                <w:szCs w:val="20"/>
                <w:vertAlign w:val="superscript"/>
                <w:lang w:val="en-US"/>
              </w:rPr>
              <w:t>th</w:t>
            </w:r>
            <w:r w:rsidRPr="00AE1338">
              <w:rPr>
                <w:rFonts w:ascii="Arial" w:hAnsi="Arial" w:cs="Arial"/>
                <w:b/>
                <w:bCs/>
                <w:sz w:val="20"/>
                <w:szCs w:val="20"/>
                <w:lang w:val="en-US"/>
              </w:rPr>
              <w:t xml:space="preserve"> August 2025</w:t>
            </w:r>
          </w:p>
          <w:p w14:paraId="7651A3F6" w14:textId="2BD38B3D" w:rsidR="00A91B43" w:rsidRPr="00AE1338" w:rsidRDefault="00971246"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Parallel Session </w:t>
            </w:r>
            <w:r w:rsidR="00A91B43">
              <w:rPr>
                <w:rFonts w:ascii="Arial" w:hAnsi="Arial" w:cs="Arial"/>
                <w:b/>
                <w:bCs/>
                <w:sz w:val="20"/>
                <w:szCs w:val="20"/>
                <w:lang w:val="en-US"/>
              </w:rPr>
              <w:t>H</w:t>
            </w:r>
          </w:p>
          <w:p w14:paraId="0D61DF50" w14:textId="7DFF7202" w:rsidR="00E21EAA" w:rsidRPr="00E21EAA" w:rsidRDefault="00A91B43" w:rsidP="00E21EAA">
            <w:pPr>
              <w:spacing w:after="0" w:line="240" w:lineRule="auto"/>
              <w:rPr>
                <w:rFonts w:ascii="Arial" w:hAnsi="Arial" w:cs="Arial"/>
                <w:b/>
                <w:bCs/>
                <w:sz w:val="20"/>
                <w:szCs w:val="20"/>
                <w:lang w:val="en-US"/>
              </w:rPr>
            </w:pPr>
            <w:r w:rsidRPr="00AE1338">
              <w:rPr>
                <w:rFonts w:ascii="Arial" w:hAnsi="Arial" w:cs="Arial"/>
                <w:b/>
                <w:bCs/>
                <w:sz w:val="20"/>
                <w:szCs w:val="20"/>
                <w:lang w:val="en-US"/>
              </w:rPr>
              <w:t>Session Chair</w:t>
            </w:r>
            <w:proofErr w:type="gramStart"/>
            <w:r w:rsidRPr="00AE1338">
              <w:rPr>
                <w:rFonts w:ascii="Arial" w:hAnsi="Arial" w:cs="Arial"/>
                <w:b/>
                <w:bCs/>
                <w:sz w:val="20"/>
                <w:szCs w:val="20"/>
                <w:lang w:val="en-US"/>
              </w:rPr>
              <w:t>:</w:t>
            </w:r>
            <w:r>
              <w:rPr>
                <w:rFonts w:ascii="Arial" w:hAnsi="Arial" w:cs="Arial"/>
                <w:b/>
                <w:bCs/>
                <w:sz w:val="20"/>
                <w:szCs w:val="20"/>
                <w:lang w:val="en-US"/>
              </w:rPr>
              <w:t xml:space="preserve"> </w:t>
            </w:r>
            <w:r w:rsidR="00E21EAA" w:rsidRPr="00E21EAA">
              <w:rPr>
                <w:rFonts w:ascii="Arial" w:hAnsi="Arial" w:cs="Arial"/>
                <w:b/>
                <w:bCs/>
                <w:sz w:val="20"/>
                <w:szCs w:val="20"/>
                <w:lang w:val="en-US"/>
              </w:rPr>
              <w:t xml:space="preserve"> Linda</w:t>
            </w:r>
            <w:proofErr w:type="gramEnd"/>
            <w:r w:rsidR="00E21EAA" w:rsidRPr="00E21EAA">
              <w:rPr>
                <w:rFonts w:ascii="Arial" w:hAnsi="Arial" w:cs="Arial"/>
                <w:b/>
                <w:bCs/>
                <w:sz w:val="20"/>
                <w:szCs w:val="20"/>
                <w:lang w:val="en-US"/>
              </w:rPr>
              <w:t xml:space="preserve"> Kusumaning Wedari., SE., MSi., PhD - Scopus ID: 57223913778</w:t>
            </w:r>
          </w:p>
          <w:p w14:paraId="27F19FA8" w14:textId="2503D311" w:rsidR="00A91B43" w:rsidRPr="00AE1338" w:rsidRDefault="00A91B43" w:rsidP="00A51969">
            <w:pPr>
              <w:spacing w:after="0" w:line="240" w:lineRule="auto"/>
              <w:rPr>
                <w:rFonts w:ascii="Arial" w:hAnsi="Arial" w:cs="Arial"/>
                <w:b/>
                <w:bCs/>
                <w:sz w:val="20"/>
                <w:szCs w:val="20"/>
                <w:lang w:val="en-US"/>
              </w:rPr>
            </w:pPr>
            <w:r>
              <w:rPr>
                <w:rFonts w:ascii="Arial" w:hAnsi="Arial" w:cs="Arial"/>
                <w:b/>
                <w:bCs/>
                <w:sz w:val="20"/>
                <w:szCs w:val="20"/>
                <w:lang w:val="en-US"/>
              </w:rPr>
              <w:t xml:space="preserve"> </w:t>
            </w:r>
          </w:p>
        </w:tc>
      </w:tr>
      <w:tr w:rsidR="004B65CC" w:rsidRPr="00AE1338" w14:paraId="7BA4065C" w14:textId="77777777" w:rsidTr="007C6E48">
        <w:trPr>
          <w:jc w:val="center"/>
        </w:trPr>
        <w:tc>
          <w:tcPr>
            <w:tcW w:w="1696" w:type="dxa"/>
            <w:vAlign w:val="center"/>
          </w:tcPr>
          <w:p w14:paraId="77E51C44" w14:textId="77777777" w:rsidR="004B65CC" w:rsidRPr="00AE1338" w:rsidRDefault="004B65C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Time (Istanbul Turkiye)</w:t>
            </w:r>
          </w:p>
        </w:tc>
        <w:tc>
          <w:tcPr>
            <w:tcW w:w="1701" w:type="dxa"/>
            <w:vAlign w:val="center"/>
          </w:tcPr>
          <w:p w14:paraId="2B7A4F92" w14:textId="6816C831"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Paper </w:t>
            </w:r>
            <w:r>
              <w:rPr>
                <w:rFonts w:ascii="Arial" w:hAnsi="Arial" w:cs="Arial"/>
                <w:b/>
                <w:bCs/>
                <w:sz w:val="20"/>
                <w:szCs w:val="20"/>
                <w:lang w:val="en-US"/>
              </w:rPr>
              <w:t>ID</w:t>
            </w:r>
          </w:p>
        </w:tc>
        <w:tc>
          <w:tcPr>
            <w:tcW w:w="6339" w:type="dxa"/>
            <w:vAlign w:val="center"/>
          </w:tcPr>
          <w:p w14:paraId="0E4B590D" w14:textId="34BC5535"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Paper</w:t>
            </w:r>
            <w:r>
              <w:rPr>
                <w:rFonts w:ascii="Arial" w:hAnsi="Arial" w:cs="Arial"/>
                <w:b/>
                <w:bCs/>
                <w:sz w:val="20"/>
                <w:szCs w:val="20"/>
                <w:lang w:val="en-US"/>
              </w:rPr>
              <w:t xml:space="preserve"> Title</w:t>
            </w:r>
          </w:p>
        </w:tc>
      </w:tr>
      <w:tr w:rsidR="004066FB" w:rsidRPr="00AE1338" w14:paraId="1D09AC35" w14:textId="77777777" w:rsidTr="00AD49DF">
        <w:trPr>
          <w:jc w:val="center"/>
        </w:trPr>
        <w:tc>
          <w:tcPr>
            <w:tcW w:w="1696" w:type="dxa"/>
            <w:vAlign w:val="center"/>
          </w:tcPr>
          <w:p w14:paraId="5E94F1EE" w14:textId="51816D3D" w:rsid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09:00–09:20</w:t>
            </w:r>
          </w:p>
        </w:tc>
        <w:tc>
          <w:tcPr>
            <w:tcW w:w="1701" w:type="dxa"/>
            <w:vAlign w:val="center"/>
          </w:tcPr>
          <w:p w14:paraId="131210B4" w14:textId="70824197"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127</w:t>
            </w:r>
          </w:p>
        </w:tc>
        <w:tc>
          <w:tcPr>
            <w:tcW w:w="6339" w:type="dxa"/>
            <w:vAlign w:val="center"/>
          </w:tcPr>
          <w:p w14:paraId="371789AE" w14:textId="501B41CE"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Does Artificial Intelligence Adoption and Auditor Competency Matter for Audit Quality? Evidence from Indonesian Construction and Real Estate Sector</w:t>
            </w:r>
          </w:p>
        </w:tc>
      </w:tr>
      <w:tr w:rsidR="004066FB" w:rsidRPr="00AE1338" w14:paraId="37004788" w14:textId="77777777" w:rsidTr="00AD49DF">
        <w:trPr>
          <w:jc w:val="center"/>
        </w:trPr>
        <w:tc>
          <w:tcPr>
            <w:tcW w:w="1696" w:type="dxa"/>
            <w:vAlign w:val="center"/>
          </w:tcPr>
          <w:p w14:paraId="1720387C" w14:textId="169338A1"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09:20–09:40</w:t>
            </w:r>
          </w:p>
        </w:tc>
        <w:tc>
          <w:tcPr>
            <w:tcW w:w="1701" w:type="dxa"/>
            <w:vAlign w:val="center"/>
          </w:tcPr>
          <w:p w14:paraId="4A23AE9C" w14:textId="40B850B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129</w:t>
            </w:r>
          </w:p>
        </w:tc>
        <w:tc>
          <w:tcPr>
            <w:tcW w:w="6339" w:type="dxa"/>
            <w:vAlign w:val="center"/>
          </w:tcPr>
          <w:p w14:paraId="55EE6E0A" w14:textId="79FDE80D"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Generative AI Paradox: Cognitive Load and Audit Fatigue in Fraud Risk Assessment</w:t>
            </w:r>
          </w:p>
        </w:tc>
      </w:tr>
      <w:tr w:rsidR="004066FB" w:rsidRPr="00AE1338" w14:paraId="6C95B25E" w14:textId="77777777" w:rsidTr="00AD49DF">
        <w:trPr>
          <w:jc w:val="center"/>
        </w:trPr>
        <w:tc>
          <w:tcPr>
            <w:tcW w:w="1696" w:type="dxa"/>
            <w:vAlign w:val="center"/>
          </w:tcPr>
          <w:p w14:paraId="20C4F457" w14:textId="22C79DE7"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09:40–10:00</w:t>
            </w:r>
          </w:p>
        </w:tc>
        <w:tc>
          <w:tcPr>
            <w:tcW w:w="1701" w:type="dxa"/>
            <w:vAlign w:val="center"/>
          </w:tcPr>
          <w:p w14:paraId="3EDE6F78" w14:textId="1CBC3DED"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134</w:t>
            </w:r>
          </w:p>
        </w:tc>
        <w:tc>
          <w:tcPr>
            <w:tcW w:w="6339" w:type="dxa"/>
            <w:vAlign w:val="center"/>
          </w:tcPr>
          <w:p w14:paraId="76671B78" w14:textId="7CA062A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Challenges and Successes in Digital Transformation: Organizational Readiness and Information Technology Capability in a Logistics Enterprise</w:t>
            </w:r>
          </w:p>
        </w:tc>
      </w:tr>
      <w:tr w:rsidR="004066FB" w:rsidRPr="00AE1338" w14:paraId="6B776B0B" w14:textId="77777777" w:rsidTr="00AD49DF">
        <w:trPr>
          <w:jc w:val="center"/>
        </w:trPr>
        <w:tc>
          <w:tcPr>
            <w:tcW w:w="1696" w:type="dxa"/>
            <w:vAlign w:val="center"/>
          </w:tcPr>
          <w:p w14:paraId="45E8B004" w14:textId="53AA92B4"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10:00–10:20</w:t>
            </w:r>
          </w:p>
        </w:tc>
        <w:tc>
          <w:tcPr>
            <w:tcW w:w="1701" w:type="dxa"/>
            <w:vAlign w:val="center"/>
          </w:tcPr>
          <w:p w14:paraId="0AB56AA4" w14:textId="2FF63574"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135</w:t>
            </w:r>
          </w:p>
        </w:tc>
        <w:tc>
          <w:tcPr>
            <w:tcW w:w="6339" w:type="dxa"/>
            <w:vAlign w:val="center"/>
          </w:tcPr>
          <w:p w14:paraId="6CC8B93E" w14:textId="136D7C3C"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Digital Transformation as a Pathway to Creative SME Performance</w:t>
            </w:r>
          </w:p>
        </w:tc>
      </w:tr>
      <w:tr w:rsidR="004066FB" w:rsidRPr="00AE1338" w14:paraId="01B1F3CE" w14:textId="77777777" w:rsidTr="00AD49DF">
        <w:trPr>
          <w:jc w:val="center"/>
        </w:trPr>
        <w:tc>
          <w:tcPr>
            <w:tcW w:w="1696" w:type="dxa"/>
            <w:vAlign w:val="center"/>
          </w:tcPr>
          <w:p w14:paraId="5F527802" w14:textId="72618664"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10:20–10:40</w:t>
            </w:r>
          </w:p>
        </w:tc>
        <w:tc>
          <w:tcPr>
            <w:tcW w:w="1701" w:type="dxa"/>
            <w:vAlign w:val="center"/>
          </w:tcPr>
          <w:p w14:paraId="79D2DE08" w14:textId="6A43BC25"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136</w:t>
            </w:r>
          </w:p>
        </w:tc>
        <w:tc>
          <w:tcPr>
            <w:tcW w:w="6339" w:type="dxa"/>
            <w:vAlign w:val="center"/>
          </w:tcPr>
          <w:p w14:paraId="299CDC08" w14:textId="4395DA0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Helpless Master: Algorithmic Delegation and the Erosion of Moral Agency</w:t>
            </w:r>
          </w:p>
        </w:tc>
      </w:tr>
      <w:tr w:rsidR="004066FB" w:rsidRPr="00AE1338" w14:paraId="4B102DA6" w14:textId="77777777" w:rsidTr="00AD49DF">
        <w:trPr>
          <w:jc w:val="center"/>
        </w:trPr>
        <w:tc>
          <w:tcPr>
            <w:tcW w:w="1696" w:type="dxa"/>
            <w:vAlign w:val="center"/>
          </w:tcPr>
          <w:p w14:paraId="22E2D199" w14:textId="625C8A5C"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10:40–11:00</w:t>
            </w:r>
          </w:p>
        </w:tc>
        <w:tc>
          <w:tcPr>
            <w:tcW w:w="1701" w:type="dxa"/>
            <w:vAlign w:val="center"/>
          </w:tcPr>
          <w:p w14:paraId="728F910E" w14:textId="66DAA279"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137</w:t>
            </w:r>
          </w:p>
        </w:tc>
        <w:tc>
          <w:tcPr>
            <w:tcW w:w="6339" w:type="dxa"/>
            <w:vAlign w:val="center"/>
          </w:tcPr>
          <w:p w14:paraId="08BCB8F4" w14:textId="78824212"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 xml:space="preserve">Stock Market Reaction </w:t>
            </w:r>
            <w:proofErr w:type="gramStart"/>
            <w:r>
              <w:rPr>
                <w:rFonts w:ascii="Arial" w:hAnsi="Arial" w:cs="Arial"/>
                <w:color w:val="000000"/>
                <w:sz w:val="20"/>
                <w:szCs w:val="20"/>
              </w:rPr>
              <w:t>To</w:t>
            </w:r>
            <w:proofErr w:type="gramEnd"/>
            <w:r>
              <w:rPr>
                <w:rFonts w:ascii="Arial" w:hAnsi="Arial" w:cs="Arial"/>
                <w:color w:val="000000"/>
                <w:sz w:val="20"/>
                <w:szCs w:val="20"/>
              </w:rPr>
              <w:t xml:space="preserve"> Bank Indonesia Monetary Policy</w:t>
            </w:r>
          </w:p>
        </w:tc>
      </w:tr>
      <w:tr w:rsidR="004066FB" w:rsidRPr="00AE1338" w14:paraId="55903189" w14:textId="77777777" w:rsidTr="00AD49DF">
        <w:trPr>
          <w:jc w:val="center"/>
        </w:trPr>
        <w:tc>
          <w:tcPr>
            <w:tcW w:w="1696" w:type="dxa"/>
            <w:vAlign w:val="center"/>
          </w:tcPr>
          <w:p w14:paraId="46B41E4F" w14:textId="6F06D8E4"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11:00–11:20</w:t>
            </w:r>
          </w:p>
        </w:tc>
        <w:tc>
          <w:tcPr>
            <w:tcW w:w="1701" w:type="dxa"/>
            <w:vAlign w:val="center"/>
          </w:tcPr>
          <w:p w14:paraId="06FB90D9" w14:textId="1B1C605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140</w:t>
            </w:r>
          </w:p>
        </w:tc>
        <w:tc>
          <w:tcPr>
            <w:tcW w:w="6339" w:type="dxa"/>
            <w:vAlign w:val="center"/>
          </w:tcPr>
          <w:p w14:paraId="7BF087A1" w14:textId="2AA7AB37"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Human and Technological Determinants of Investment Instrument Selection: The Moderating Role of Financial Literacy</w:t>
            </w:r>
          </w:p>
        </w:tc>
      </w:tr>
      <w:tr w:rsidR="004066FB" w:rsidRPr="00AE1338" w14:paraId="6B8A202F" w14:textId="77777777" w:rsidTr="00AD49DF">
        <w:trPr>
          <w:jc w:val="center"/>
        </w:trPr>
        <w:tc>
          <w:tcPr>
            <w:tcW w:w="1696" w:type="dxa"/>
            <w:vAlign w:val="center"/>
          </w:tcPr>
          <w:p w14:paraId="17C92CF7" w14:textId="5BACAF9F"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11:20–11:40</w:t>
            </w:r>
          </w:p>
        </w:tc>
        <w:tc>
          <w:tcPr>
            <w:tcW w:w="1701" w:type="dxa"/>
            <w:vAlign w:val="center"/>
          </w:tcPr>
          <w:p w14:paraId="1BCEAB31" w14:textId="7D6021C3"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142</w:t>
            </w:r>
          </w:p>
        </w:tc>
        <w:tc>
          <w:tcPr>
            <w:tcW w:w="6339" w:type="dxa"/>
            <w:vAlign w:val="center"/>
          </w:tcPr>
          <w:p w14:paraId="628A37C3" w14:textId="6BFC2C4D"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Accounting for Digital Governance: The Roles of Open Government Data, ICT, Intellectual Capital, and Institutional Quality in Strengthening Control of Corruption—Evidence from ASEAN</w:t>
            </w:r>
          </w:p>
        </w:tc>
      </w:tr>
      <w:tr w:rsidR="004066FB" w:rsidRPr="00AE1338" w14:paraId="27C0B1C9" w14:textId="77777777" w:rsidTr="00AD49DF">
        <w:trPr>
          <w:jc w:val="center"/>
        </w:trPr>
        <w:tc>
          <w:tcPr>
            <w:tcW w:w="1696" w:type="dxa"/>
            <w:vAlign w:val="center"/>
          </w:tcPr>
          <w:p w14:paraId="2D019DF1" w14:textId="759BFB32"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11:40–12:00</w:t>
            </w:r>
          </w:p>
        </w:tc>
        <w:tc>
          <w:tcPr>
            <w:tcW w:w="1701" w:type="dxa"/>
            <w:vAlign w:val="center"/>
          </w:tcPr>
          <w:p w14:paraId="3214EB90" w14:textId="443C668E"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143</w:t>
            </w:r>
          </w:p>
        </w:tc>
        <w:tc>
          <w:tcPr>
            <w:tcW w:w="6339" w:type="dxa"/>
            <w:vAlign w:val="center"/>
          </w:tcPr>
          <w:p w14:paraId="679DB1F3" w14:textId="5C3734A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Analyzing the Effect of Technology Adoption and Firm Size on Indonesian Financial Companies Profitabilities</w:t>
            </w:r>
          </w:p>
        </w:tc>
      </w:tr>
      <w:tr w:rsidR="004066FB" w:rsidRPr="00AE1338" w14:paraId="5B9CA712" w14:textId="77777777" w:rsidTr="00AD49DF">
        <w:trPr>
          <w:jc w:val="center"/>
        </w:trPr>
        <w:tc>
          <w:tcPr>
            <w:tcW w:w="1696" w:type="dxa"/>
            <w:vAlign w:val="center"/>
          </w:tcPr>
          <w:p w14:paraId="26714530" w14:textId="3F9D9131"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w:t>
            </w:r>
            <w:r>
              <w:rPr>
                <w:rFonts w:ascii="Arial" w:hAnsi="Arial" w:cs="Arial"/>
                <w:b/>
                <w:bCs/>
                <w:color w:val="000000"/>
                <w:sz w:val="20"/>
                <w:szCs w:val="20"/>
              </w:rPr>
              <w:t>2</w:t>
            </w:r>
            <w:r w:rsidRPr="004066FB">
              <w:rPr>
                <w:rFonts w:ascii="Arial" w:hAnsi="Arial" w:cs="Arial"/>
                <w:b/>
                <w:bCs/>
                <w:color w:val="000000"/>
                <w:sz w:val="20"/>
                <w:szCs w:val="20"/>
              </w:rPr>
              <w:t>:00–1</w:t>
            </w:r>
            <w:r>
              <w:rPr>
                <w:rFonts w:ascii="Arial" w:hAnsi="Arial" w:cs="Arial"/>
                <w:b/>
                <w:bCs/>
                <w:color w:val="000000"/>
                <w:sz w:val="20"/>
                <w:szCs w:val="20"/>
              </w:rPr>
              <w:t>2</w:t>
            </w:r>
            <w:r w:rsidRPr="004066FB">
              <w:rPr>
                <w:rFonts w:ascii="Arial" w:hAnsi="Arial" w:cs="Arial"/>
                <w:b/>
                <w:bCs/>
                <w:color w:val="000000"/>
                <w:sz w:val="20"/>
                <w:szCs w:val="20"/>
              </w:rPr>
              <w:t>:20</w:t>
            </w:r>
          </w:p>
        </w:tc>
        <w:tc>
          <w:tcPr>
            <w:tcW w:w="1701" w:type="dxa"/>
            <w:vAlign w:val="center"/>
          </w:tcPr>
          <w:p w14:paraId="6277FBC2" w14:textId="4CEC7137"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144</w:t>
            </w:r>
          </w:p>
        </w:tc>
        <w:tc>
          <w:tcPr>
            <w:tcW w:w="6339" w:type="dxa"/>
            <w:vAlign w:val="center"/>
          </w:tcPr>
          <w:p w14:paraId="30021998" w14:textId="25C036CE"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Beyond Technology: Understanding Tax Digitalization Adoption</w:t>
            </w:r>
          </w:p>
        </w:tc>
      </w:tr>
    </w:tbl>
    <w:p w14:paraId="0F232684" w14:textId="77777777" w:rsidR="00A91B43" w:rsidRDefault="00A91B43" w:rsidP="00A51969">
      <w:pPr>
        <w:spacing w:after="0" w:line="240" w:lineRule="auto"/>
        <w:rPr>
          <w:rFonts w:ascii="Arial" w:hAnsi="Arial" w:cs="Arial"/>
          <w:b/>
          <w:bCs/>
          <w:sz w:val="20"/>
          <w:szCs w:val="20"/>
          <w:lang w:val="en-US"/>
        </w:rPr>
      </w:pPr>
    </w:p>
    <w:p w14:paraId="6EEB34A1" w14:textId="77777777" w:rsidR="00FB07B7" w:rsidRDefault="00FB07B7" w:rsidP="00A51969">
      <w:pPr>
        <w:spacing w:after="0" w:line="240" w:lineRule="auto"/>
        <w:rPr>
          <w:rFonts w:ascii="Arial" w:hAnsi="Arial" w:cs="Arial"/>
          <w:b/>
          <w:bCs/>
          <w:sz w:val="20"/>
          <w:szCs w:val="20"/>
          <w:lang w:val="en-US"/>
        </w:rPr>
      </w:pPr>
    </w:p>
    <w:p w14:paraId="00CD3EFD" w14:textId="77777777" w:rsidR="00FB07B7" w:rsidRDefault="00FB07B7" w:rsidP="00A51969">
      <w:pPr>
        <w:spacing w:after="0" w:line="240" w:lineRule="auto"/>
        <w:rPr>
          <w:rFonts w:ascii="Arial" w:hAnsi="Arial" w:cs="Arial"/>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6339"/>
      </w:tblGrid>
      <w:tr w:rsidR="00A91B43" w:rsidRPr="00AE1338" w14:paraId="26E962EB" w14:textId="77777777" w:rsidTr="007C6E48">
        <w:trPr>
          <w:jc w:val="center"/>
        </w:trPr>
        <w:tc>
          <w:tcPr>
            <w:tcW w:w="0" w:type="auto"/>
            <w:gridSpan w:val="3"/>
            <w:vAlign w:val="center"/>
          </w:tcPr>
          <w:p w14:paraId="40713F9A" w14:textId="77777777" w:rsidR="00A91B43" w:rsidRPr="00AE1338" w:rsidRDefault="00A91B43" w:rsidP="00A51969">
            <w:pPr>
              <w:spacing w:after="0" w:line="240" w:lineRule="auto"/>
              <w:jc w:val="right"/>
              <w:rPr>
                <w:rFonts w:ascii="Arial" w:hAnsi="Arial" w:cs="Arial"/>
                <w:b/>
                <w:bCs/>
                <w:sz w:val="20"/>
                <w:szCs w:val="20"/>
                <w:lang w:val="en-US"/>
              </w:rPr>
            </w:pPr>
            <w:r>
              <w:rPr>
                <w:rFonts w:ascii="Arial" w:hAnsi="Arial" w:cs="Arial"/>
                <w:b/>
                <w:bCs/>
                <w:sz w:val="20"/>
                <w:szCs w:val="20"/>
                <w:lang w:val="en-US"/>
              </w:rPr>
              <w:t>20</w:t>
            </w:r>
            <w:r w:rsidRPr="00AE1338">
              <w:rPr>
                <w:rFonts w:ascii="Arial" w:hAnsi="Arial" w:cs="Arial"/>
                <w:b/>
                <w:bCs/>
                <w:sz w:val="20"/>
                <w:szCs w:val="20"/>
                <w:vertAlign w:val="superscript"/>
                <w:lang w:val="en-US"/>
              </w:rPr>
              <w:t>th</w:t>
            </w:r>
            <w:r w:rsidRPr="00AE1338">
              <w:rPr>
                <w:rFonts w:ascii="Arial" w:hAnsi="Arial" w:cs="Arial"/>
                <w:b/>
                <w:bCs/>
                <w:sz w:val="20"/>
                <w:szCs w:val="20"/>
                <w:lang w:val="en-US"/>
              </w:rPr>
              <w:t xml:space="preserve"> August 2025</w:t>
            </w:r>
          </w:p>
          <w:p w14:paraId="53A1E0D1" w14:textId="7E813CAE" w:rsidR="00A91B43" w:rsidRPr="00AE1338" w:rsidRDefault="00971246"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Parallel Session </w:t>
            </w:r>
            <w:r w:rsidR="00A91B43">
              <w:rPr>
                <w:rFonts w:ascii="Arial" w:hAnsi="Arial" w:cs="Arial"/>
                <w:b/>
                <w:bCs/>
                <w:sz w:val="20"/>
                <w:szCs w:val="20"/>
                <w:lang w:val="en-US"/>
              </w:rPr>
              <w:t>I</w:t>
            </w:r>
          </w:p>
          <w:p w14:paraId="043AA505" w14:textId="6870C21F" w:rsidR="00A91B43" w:rsidRPr="00AE1338" w:rsidRDefault="00A91B43"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Session Chair:</w:t>
            </w:r>
            <w:r>
              <w:rPr>
                <w:rFonts w:ascii="Arial" w:hAnsi="Arial" w:cs="Arial"/>
                <w:b/>
                <w:bCs/>
                <w:sz w:val="20"/>
                <w:szCs w:val="20"/>
                <w:lang w:val="en-US"/>
              </w:rPr>
              <w:t xml:space="preserve"> </w:t>
            </w:r>
            <w:r w:rsidR="00E21EAA" w:rsidRPr="00E21EAA">
              <w:rPr>
                <w:rFonts w:ascii="Arial" w:hAnsi="Arial" w:cs="Arial"/>
                <w:b/>
                <w:bCs/>
                <w:sz w:val="20"/>
                <w:szCs w:val="20"/>
                <w:lang w:val="en-US"/>
              </w:rPr>
              <w:t xml:space="preserve">Dr. Valentina Tohang., SE., </w:t>
            </w:r>
            <w:proofErr w:type="gramStart"/>
            <w:r w:rsidR="00E21EAA" w:rsidRPr="00E21EAA">
              <w:rPr>
                <w:rFonts w:ascii="Arial" w:hAnsi="Arial" w:cs="Arial"/>
                <w:b/>
                <w:bCs/>
                <w:sz w:val="20"/>
                <w:szCs w:val="20"/>
                <w:lang w:val="en-US"/>
              </w:rPr>
              <w:t>M.Bus</w:t>
            </w:r>
            <w:proofErr w:type="gramEnd"/>
            <w:r w:rsidR="00E21EAA" w:rsidRPr="00E21EAA">
              <w:rPr>
                <w:rFonts w:ascii="Arial" w:hAnsi="Arial" w:cs="Arial"/>
                <w:b/>
                <w:bCs/>
                <w:sz w:val="20"/>
                <w:szCs w:val="20"/>
                <w:lang w:val="en-US"/>
              </w:rPr>
              <w:t xml:space="preserve">(ERP)., </w:t>
            </w:r>
            <w:proofErr w:type="gramStart"/>
            <w:r w:rsidR="00E21EAA" w:rsidRPr="00E21EAA">
              <w:rPr>
                <w:rFonts w:ascii="Arial" w:hAnsi="Arial" w:cs="Arial"/>
                <w:b/>
                <w:bCs/>
                <w:sz w:val="20"/>
                <w:szCs w:val="20"/>
                <w:lang w:val="en-US"/>
              </w:rPr>
              <w:t>M.Bus</w:t>
            </w:r>
            <w:proofErr w:type="gramEnd"/>
            <w:r w:rsidR="00E21EAA" w:rsidRPr="00E21EAA">
              <w:rPr>
                <w:rFonts w:ascii="Arial" w:hAnsi="Arial" w:cs="Arial"/>
                <w:b/>
                <w:bCs/>
                <w:sz w:val="20"/>
                <w:szCs w:val="20"/>
                <w:lang w:val="en-US"/>
              </w:rPr>
              <w:t>(Acc) - Scopus ID: 56820137400</w:t>
            </w:r>
          </w:p>
          <w:p w14:paraId="58D9644A" w14:textId="77777777" w:rsidR="00A91B43" w:rsidRPr="00AE1338" w:rsidRDefault="00A91B43"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 xml:space="preserve">Location: </w:t>
            </w:r>
            <w:r>
              <w:rPr>
                <w:rFonts w:ascii="Arial" w:hAnsi="Arial" w:cs="Arial"/>
                <w:b/>
                <w:bCs/>
                <w:sz w:val="20"/>
                <w:szCs w:val="20"/>
                <w:lang w:val="en-US"/>
              </w:rPr>
              <w:t xml:space="preserve">Online </w:t>
            </w:r>
          </w:p>
        </w:tc>
      </w:tr>
      <w:tr w:rsidR="004B65CC" w:rsidRPr="00AE1338" w14:paraId="7A3EE26F" w14:textId="77777777" w:rsidTr="007C6E48">
        <w:trPr>
          <w:jc w:val="center"/>
        </w:trPr>
        <w:tc>
          <w:tcPr>
            <w:tcW w:w="1696" w:type="dxa"/>
            <w:vAlign w:val="center"/>
          </w:tcPr>
          <w:p w14:paraId="6284AAC2" w14:textId="77777777" w:rsidR="004B65CC" w:rsidRPr="00AE1338" w:rsidRDefault="004B65C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Time (Istanbul Turkiye)</w:t>
            </w:r>
          </w:p>
        </w:tc>
        <w:tc>
          <w:tcPr>
            <w:tcW w:w="1701" w:type="dxa"/>
            <w:vAlign w:val="center"/>
          </w:tcPr>
          <w:p w14:paraId="1697C911" w14:textId="50538324"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Paper </w:t>
            </w:r>
            <w:r>
              <w:rPr>
                <w:rFonts w:ascii="Arial" w:hAnsi="Arial" w:cs="Arial"/>
                <w:b/>
                <w:bCs/>
                <w:sz w:val="20"/>
                <w:szCs w:val="20"/>
                <w:lang w:val="en-US"/>
              </w:rPr>
              <w:t>ID</w:t>
            </w:r>
          </w:p>
        </w:tc>
        <w:tc>
          <w:tcPr>
            <w:tcW w:w="6339" w:type="dxa"/>
            <w:vAlign w:val="center"/>
          </w:tcPr>
          <w:p w14:paraId="58095CED" w14:textId="1C89C754"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Paper</w:t>
            </w:r>
            <w:r>
              <w:rPr>
                <w:rFonts w:ascii="Arial" w:hAnsi="Arial" w:cs="Arial"/>
                <w:b/>
                <w:bCs/>
                <w:sz w:val="20"/>
                <w:szCs w:val="20"/>
                <w:lang w:val="en-US"/>
              </w:rPr>
              <w:t xml:space="preserve"> Title</w:t>
            </w:r>
          </w:p>
        </w:tc>
      </w:tr>
      <w:tr w:rsidR="004066FB" w:rsidRPr="00AE1338" w14:paraId="4C903F30" w14:textId="77777777" w:rsidTr="008118A9">
        <w:trPr>
          <w:jc w:val="center"/>
        </w:trPr>
        <w:tc>
          <w:tcPr>
            <w:tcW w:w="1696" w:type="dxa"/>
            <w:vAlign w:val="center"/>
          </w:tcPr>
          <w:p w14:paraId="5981C392" w14:textId="247EC778" w:rsid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lastRenderedPageBreak/>
              <w:t>09:00–09:20</w:t>
            </w:r>
          </w:p>
        </w:tc>
        <w:tc>
          <w:tcPr>
            <w:tcW w:w="1701" w:type="dxa"/>
            <w:vAlign w:val="center"/>
          </w:tcPr>
          <w:p w14:paraId="62388CA2" w14:textId="33DF658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145</w:t>
            </w:r>
          </w:p>
        </w:tc>
        <w:tc>
          <w:tcPr>
            <w:tcW w:w="6339" w:type="dxa"/>
            <w:vAlign w:val="center"/>
          </w:tcPr>
          <w:p w14:paraId="2E77FF77" w14:textId="1C476568"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Future-Ready Accountants: What Drives AI Adoption Among Accounting Students?</w:t>
            </w:r>
          </w:p>
        </w:tc>
      </w:tr>
      <w:tr w:rsidR="004066FB" w:rsidRPr="00AE1338" w14:paraId="28188C68" w14:textId="77777777" w:rsidTr="008118A9">
        <w:trPr>
          <w:jc w:val="center"/>
        </w:trPr>
        <w:tc>
          <w:tcPr>
            <w:tcW w:w="1696" w:type="dxa"/>
            <w:vAlign w:val="center"/>
          </w:tcPr>
          <w:p w14:paraId="54D4EECD" w14:textId="3E2E247E"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09:20–09:40</w:t>
            </w:r>
          </w:p>
        </w:tc>
        <w:tc>
          <w:tcPr>
            <w:tcW w:w="1701" w:type="dxa"/>
            <w:vAlign w:val="center"/>
          </w:tcPr>
          <w:p w14:paraId="07DA0A90" w14:textId="7A0A0D6F"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149</w:t>
            </w:r>
          </w:p>
        </w:tc>
        <w:tc>
          <w:tcPr>
            <w:tcW w:w="6339" w:type="dxa"/>
            <w:vAlign w:val="center"/>
          </w:tcPr>
          <w:p w14:paraId="52D3F2DB" w14:textId="6EB2668A"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The Role of Artificial Intelligence in Enhancing Auditor Accountability in Public Accounting Firm in Indonesia</w:t>
            </w:r>
          </w:p>
        </w:tc>
      </w:tr>
      <w:tr w:rsidR="004066FB" w:rsidRPr="00AE1338" w14:paraId="14DD5CB2" w14:textId="77777777" w:rsidTr="008118A9">
        <w:trPr>
          <w:jc w:val="center"/>
        </w:trPr>
        <w:tc>
          <w:tcPr>
            <w:tcW w:w="1696" w:type="dxa"/>
            <w:vAlign w:val="center"/>
          </w:tcPr>
          <w:p w14:paraId="50CF4B3F" w14:textId="6BCB19BA"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09:40–10:00</w:t>
            </w:r>
          </w:p>
        </w:tc>
        <w:tc>
          <w:tcPr>
            <w:tcW w:w="1701" w:type="dxa"/>
            <w:vAlign w:val="center"/>
          </w:tcPr>
          <w:p w14:paraId="3B868515" w14:textId="4D14A8B4"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153</w:t>
            </w:r>
          </w:p>
        </w:tc>
        <w:tc>
          <w:tcPr>
            <w:tcW w:w="6339" w:type="dxa"/>
            <w:vAlign w:val="center"/>
          </w:tcPr>
          <w:p w14:paraId="32AC3E43" w14:textId="2C98E2E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An Analysis of Digital, Network, and Innovation Capability Practices in Culinary SMEs</w:t>
            </w:r>
          </w:p>
        </w:tc>
      </w:tr>
      <w:tr w:rsidR="004066FB" w:rsidRPr="00AE1338" w14:paraId="427911D5" w14:textId="77777777" w:rsidTr="008118A9">
        <w:trPr>
          <w:jc w:val="center"/>
        </w:trPr>
        <w:tc>
          <w:tcPr>
            <w:tcW w:w="1696" w:type="dxa"/>
            <w:vAlign w:val="center"/>
          </w:tcPr>
          <w:p w14:paraId="0B39CFAA" w14:textId="455C7DDA"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10:00–10:20</w:t>
            </w:r>
          </w:p>
        </w:tc>
        <w:tc>
          <w:tcPr>
            <w:tcW w:w="1701" w:type="dxa"/>
            <w:vAlign w:val="center"/>
          </w:tcPr>
          <w:p w14:paraId="43E06CAC" w14:textId="00446AE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158</w:t>
            </w:r>
          </w:p>
        </w:tc>
        <w:tc>
          <w:tcPr>
            <w:tcW w:w="6339" w:type="dxa"/>
            <w:vAlign w:val="center"/>
          </w:tcPr>
          <w:p w14:paraId="13B5DA01" w14:textId="5BC66E0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Enhancing Accounting Students' Career Readiness through Big Data Literacy: Evidence from Data- Driven Culture, Technological Infrastructure, Human Analytical Skills, and Data Governance</w:t>
            </w:r>
          </w:p>
        </w:tc>
      </w:tr>
      <w:tr w:rsidR="004066FB" w:rsidRPr="00AE1338" w14:paraId="398DC7BF" w14:textId="77777777" w:rsidTr="008118A9">
        <w:trPr>
          <w:jc w:val="center"/>
        </w:trPr>
        <w:tc>
          <w:tcPr>
            <w:tcW w:w="1696" w:type="dxa"/>
            <w:vAlign w:val="center"/>
          </w:tcPr>
          <w:p w14:paraId="39ADFE6F" w14:textId="3C81C959"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10:20–10:40</w:t>
            </w:r>
          </w:p>
        </w:tc>
        <w:tc>
          <w:tcPr>
            <w:tcW w:w="1701" w:type="dxa"/>
            <w:vAlign w:val="center"/>
          </w:tcPr>
          <w:p w14:paraId="6306AAEF" w14:textId="6678906F"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161</w:t>
            </w:r>
          </w:p>
        </w:tc>
        <w:tc>
          <w:tcPr>
            <w:tcW w:w="6339" w:type="dxa"/>
            <w:vAlign w:val="center"/>
          </w:tcPr>
          <w:p w14:paraId="11D87F06" w14:textId="3A49E4E4"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An Explainable Fuzzy Decision-Support Framework for FDM Process Parameter Selection Using Sensitivity Analysis and Genetic Inverse Design</w:t>
            </w:r>
          </w:p>
        </w:tc>
      </w:tr>
      <w:tr w:rsidR="004066FB" w:rsidRPr="00AE1338" w14:paraId="3EC55470" w14:textId="77777777" w:rsidTr="008118A9">
        <w:trPr>
          <w:jc w:val="center"/>
        </w:trPr>
        <w:tc>
          <w:tcPr>
            <w:tcW w:w="1696" w:type="dxa"/>
            <w:vAlign w:val="center"/>
          </w:tcPr>
          <w:p w14:paraId="796DAAC3" w14:textId="27D25D41"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w:t>
            </w:r>
            <w:r w:rsidR="004D5C6E">
              <w:rPr>
                <w:rFonts w:ascii="Arial" w:hAnsi="Arial" w:cs="Arial"/>
                <w:b/>
                <w:bCs/>
                <w:color w:val="000000"/>
                <w:sz w:val="20"/>
                <w:szCs w:val="20"/>
              </w:rPr>
              <w:t>0</w:t>
            </w:r>
            <w:r w:rsidRPr="004066FB">
              <w:rPr>
                <w:rFonts w:ascii="Arial" w:hAnsi="Arial" w:cs="Arial"/>
                <w:b/>
                <w:bCs/>
                <w:color w:val="000000"/>
                <w:sz w:val="20"/>
                <w:szCs w:val="20"/>
              </w:rPr>
              <w:t>:</w:t>
            </w:r>
            <w:r w:rsidR="004D5C6E">
              <w:rPr>
                <w:rFonts w:ascii="Arial" w:hAnsi="Arial" w:cs="Arial"/>
                <w:b/>
                <w:bCs/>
                <w:color w:val="000000"/>
                <w:sz w:val="20"/>
                <w:szCs w:val="20"/>
              </w:rPr>
              <w:t>4</w:t>
            </w:r>
            <w:r w:rsidRPr="004066FB">
              <w:rPr>
                <w:rFonts w:ascii="Arial" w:hAnsi="Arial" w:cs="Arial"/>
                <w:b/>
                <w:bCs/>
                <w:color w:val="000000"/>
                <w:sz w:val="20"/>
                <w:szCs w:val="20"/>
              </w:rPr>
              <w:t>0–11:</w:t>
            </w:r>
            <w:r w:rsidR="004D5C6E">
              <w:rPr>
                <w:rFonts w:ascii="Arial" w:hAnsi="Arial" w:cs="Arial"/>
                <w:b/>
                <w:bCs/>
                <w:color w:val="000000"/>
                <w:sz w:val="20"/>
                <w:szCs w:val="20"/>
              </w:rPr>
              <w:t>00</w:t>
            </w:r>
          </w:p>
        </w:tc>
        <w:tc>
          <w:tcPr>
            <w:tcW w:w="1701" w:type="dxa"/>
            <w:vAlign w:val="center"/>
          </w:tcPr>
          <w:p w14:paraId="7F3CEB61" w14:textId="201C6B56"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166</w:t>
            </w:r>
          </w:p>
        </w:tc>
        <w:tc>
          <w:tcPr>
            <w:tcW w:w="6339" w:type="dxa"/>
            <w:vAlign w:val="center"/>
          </w:tcPr>
          <w:p w14:paraId="5F1EE1B2" w14:textId="7D4E82C1"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Beyond Keyword Matching: An Empirical Investigation of Rubric Compliance Behaviour in AI-Powered Subjective Assessment</w:t>
            </w:r>
          </w:p>
        </w:tc>
      </w:tr>
      <w:tr w:rsidR="004066FB" w:rsidRPr="00AE1338" w14:paraId="60277368" w14:textId="77777777" w:rsidTr="008118A9">
        <w:trPr>
          <w:jc w:val="center"/>
        </w:trPr>
        <w:tc>
          <w:tcPr>
            <w:tcW w:w="1696" w:type="dxa"/>
            <w:vAlign w:val="center"/>
          </w:tcPr>
          <w:p w14:paraId="3345204F" w14:textId="3468D894"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w:t>
            </w:r>
            <w:r w:rsidR="004D5C6E">
              <w:rPr>
                <w:rFonts w:ascii="Arial" w:hAnsi="Arial" w:cs="Arial"/>
                <w:b/>
                <w:bCs/>
                <w:color w:val="000000"/>
                <w:sz w:val="20"/>
                <w:szCs w:val="20"/>
              </w:rPr>
              <w:t>0</w:t>
            </w:r>
            <w:r w:rsidRPr="004066FB">
              <w:rPr>
                <w:rFonts w:ascii="Arial" w:hAnsi="Arial" w:cs="Arial"/>
                <w:b/>
                <w:bCs/>
                <w:color w:val="000000"/>
                <w:sz w:val="20"/>
                <w:szCs w:val="20"/>
              </w:rPr>
              <w:t>0–11:</w:t>
            </w:r>
            <w:r w:rsidR="004D5C6E">
              <w:rPr>
                <w:rFonts w:ascii="Arial" w:hAnsi="Arial" w:cs="Arial"/>
                <w:b/>
                <w:bCs/>
                <w:color w:val="000000"/>
                <w:sz w:val="20"/>
                <w:szCs w:val="20"/>
              </w:rPr>
              <w:t>2</w:t>
            </w:r>
            <w:r w:rsidRPr="004066FB">
              <w:rPr>
                <w:rFonts w:ascii="Arial" w:hAnsi="Arial" w:cs="Arial"/>
                <w:b/>
                <w:bCs/>
                <w:color w:val="000000"/>
                <w:sz w:val="20"/>
                <w:szCs w:val="20"/>
              </w:rPr>
              <w:t>0</w:t>
            </w:r>
          </w:p>
        </w:tc>
        <w:tc>
          <w:tcPr>
            <w:tcW w:w="1701" w:type="dxa"/>
            <w:vAlign w:val="center"/>
          </w:tcPr>
          <w:p w14:paraId="7DF54572" w14:textId="47FB0F03"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168</w:t>
            </w:r>
          </w:p>
        </w:tc>
        <w:tc>
          <w:tcPr>
            <w:tcW w:w="6339" w:type="dxa"/>
            <w:vAlign w:val="center"/>
          </w:tcPr>
          <w:p w14:paraId="457622F2" w14:textId="057BCB52"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Does Lower Carbon Emission Intensity Reflect Better ESG Performance? Evidence from Manufacturing Firms in Emerging ASEAN Economies</w:t>
            </w:r>
          </w:p>
        </w:tc>
      </w:tr>
      <w:tr w:rsidR="004066FB" w:rsidRPr="00AE1338" w14:paraId="71EAEEDC" w14:textId="77777777" w:rsidTr="008118A9">
        <w:trPr>
          <w:jc w:val="center"/>
        </w:trPr>
        <w:tc>
          <w:tcPr>
            <w:tcW w:w="1696" w:type="dxa"/>
            <w:vAlign w:val="center"/>
          </w:tcPr>
          <w:p w14:paraId="64834049" w14:textId="457A4F58"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w:t>
            </w:r>
            <w:r w:rsidR="004D5C6E">
              <w:rPr>
                <w:rFonts w:ascii="Arial" w:hAnsi="Arial" w:cs="Arial"/>
                <w:b/>
                <w:bCs/>
                <w:color w:val="000000"/>
                <w:sz w:val="20"/>
                <w:szCs w:val="20"/>
              </w:rPr>
              <w:t>2</w:t>
            </w:r>
            <w:r w:rsidRPr="004066FB">
              <w:rPr>
                <w:rFonts w:ascii="Arial" w:hAnsi="Arial" w:cs="Arial"/>
                <w:b/>
                <w:bCs/>
                <w:color w:val="000000"/>
                <w:sz w:val="20"/>
                <w:szCs w:val="20"/>
              </w:rPr>
              <w:t>0–1</w:t>
            </w:r>
            <w:r w:rsidR="004D5C6E">
              <w:rPr>
                <w:rFonts w:ascii="Arial" w:hAnsi="Arial" w:cs="Arial"/>
                <w:b/>
                <w:bCs/>
                <w:color w:val="000000"/>
                <w:sz w:val="20"/>
                <w:szCs w:val="20"/>
              </w:rPr>
              <w:t>1</w:t>
            </w:r>
            <w:r w:rsidRPr="004066FB">
              <w:rPr>
                <w:rFonts w:ascii="Arial" w:hAnsi="Arial" w:cs="Arial"/>
                <w:b/>
                <w:bCs/>
                <w:color w:val="000000"/>
                <w:sz w:val="20"/>
                <w:szCs w:val="20"/>
              </w:rPr>
              <w:t>:</w:t>
            </w:r>
            <w:r w:rsidR="004D5C6E">
              <w:rPr>
                <w:rFonts w:ascii="Arial" w:hAnsi="Arial" w:cs="Arial"/>
                <w:b/>
                <w:bCs/>
                <w:color w:val="000000"/>
                <w:sz w:val="20"/>
                <w:szCs w:val="20"/>
              </w:rPr>
              <w:t>4</w:t>
            </w:r>
            <w:r w:rsidRPr="004066FB">
              <w:rPr>
                <w:rFonts w:ascii="Arial" w:hAnsi="Arial" w:cs="Arial"/>
                <w:b/>
                <w:bCs/>
                <w:color w:val="000000"/>
                <w:sz w:val="20"/>
                <w:szCs w:val="20"/>
              </w:rPr>
              <w:t>0</w:t>
            </w:r>
          </w:p>
        </w:tc>
        <w:tc>
          <w:tcPr>
            <w:tcW w:w="1701" w:type="dxa"/>
            <w:vAlign w:val="center"/>
          </w:tcPr>
          <w:p w14:paraId="1A4612C1" w14:textId="7933CB79"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169</w:t>
            </w:r>
          </w:p>
        </w:tc>
        <w:tc>
          <w:tcPr>
            <w:tcW w:w="6339" w:type="dxa"/>
            <w:vAlign w:val="center"/>
          </w:tcPr>
          <w:p w14:paraId="0D4A2E9D" w14:textId="5311D41F"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Diagnosing Structural and Within-Segment Anomalies in Derived Metrics of Digital Storefronts</w:t>
            </w:r>
          </w:p>
        </w:tc>
      </w:tr>
      <w:tr w:rsidR="004066FB" w:rsidRPr="00AE1338" w14:paraId="2FF4DC88" w14:textId="77777777" w:rsidTr="008118A9">
        <w:trPr>
          <w:jc w:val="center"/>
        </w:trPr>
        <w:tc>
          <w:tcPr>
            <w:tcW w:w="1696" w:type="dxa"/>
            <w:vAlign w:val="center"/>
          </w:tcPr>
          <w:p w14:paraId="5CDA661B" w14:textId="37A8530D"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w:t>
            </w:r>
            <w:r w:rsidR="00FB07B7">
              <w:rPr>
                <w:rFonts w:ascii="Arial" w:hAnsi="Arial" w:cs="Arial"/>
                <w:b/>
                <w:bCs/>
                <w:color w:val="000000"/>
                <w:sz w:val="20"/>
                <w:szCs w:val="20"/>
              </w:rPr>
              <w:t>1</w:t>
            </w:r>
            <w:r w:rsidRPr="004066FB">
              <w:rPr>
                <w:rFonts w:ascii="Arial" w:hAnsi="Arial" w:cs="Arial"/>
                <w:b/>
                <w:bCs/>
                <w:color w:val="000000"/>
                <w:sz w:val="20"/>
                <w:szCs w:val="20"/>
              </w:rPr>
              <w:t>:</w:t>
            </w:r>
            <w:r w:rsidR="004D5C6E">
              <w:rPr>
                <w:rFonts w:ascii="Arial" w:hAnsi="Arial" w:cs="Arial"/>
                <w:b/>
                <w:bCs/>
                <w:color w:val="000000"/>
                <w:sz w:val="20"/>
                <w:szCs w:val="20"/>
              </w:rPr>
              <w:t>4</w:t>
            </w:r>
            <w:r w:rsidRPr="004066FB">
              <w:rPr>
                <w:rFonts w:ascii="Arial" w:hAnsi="Arial" w:cs="Arial"/>
                <w:b/>
                <w:bCs/>
                <w:color w:val="000000"/>
                <w:sz w:val="20"/>
                <w:szCs w:val="20"/>
              </w:rPr>
              <w:t>0–1</w:t>
            </w:r>
            <w:r>
              <w:rPr>
                <w:rFonts w:ascii="Arial" w:hAnsi="Arial" w:cs="Arial"/>
                <w:b/>
                <w:bCs/>
                <w:color w:val="000000"/>
                <w:sz w:val="20"/>
                <w:szCs w:val="20"/>
              </w:rPr>
              <w:t>2</w:t>
            </w:r>
            <w:r w:rsidRPr="004066FB">
              <w:rPr>
                <w:rFonts w:ascii="Arial" w:hAnsi="Arial" w:cs="Arial"/>
                <w:b/>
                <w:bCs/>
                <w:color w:val="000000"/>
                <w:sz w:val="20"/>
                <w:szCs w:val="20"/>
              </w:rPr>
              <w:t>:</w:t>
            </w:r>
            <w:r w:rsidR="00FB07B7">
              <w:rPr>
                <w:rFonts w:ascii="Arial" w:hAnsi="Arial" w:cs="Arial"/>
                <w:b/>
                <w:bCs/>
                <w:color w:val="000000"/>
                <w:sz w:val="20"/>
                <w:szCs w:val="20"/>
              </w:rPr>
              <w:t>0</w:t>
            </w:r>
            <w:r w:rsidRPr="004066FB">
              <w:rPr>
                <w:rFonts w:ascii="Arial" w:hAnsi="Arial" w:cs="Arial"/>
                <w:b/>
                <w:bCs/>
                <w:color w:val="000000"/>
                <w:sz w:val="20"/>
                <w:szCs w:val="20"/>
              </w:rPr>
              <w:t>0</w:t>
            </w:r>
          </w:p>
        </w:tc>
        <w:tc>
          <w:tcPr>
            <w:tcW w:w="1701" w:type="dxa"/>
            <w:vAlign w:val="center"/>
          </w:tcPr>
          <w:p w14:paraId="418C0123" w14:textId="6E038A24"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173</w:t>
            </w:r>
          </w:p>
        </w:tc>
        <w:tc>
          <w:tcPr>
            <w:tcW w:w="6339" w:type="dxa"/>
            <w:vAlign w:val="center"/>
          </w:tcPr>
          <w:p w14:paraId="331461B3" w14:textId="18D781F7"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Tiny U-Net with Rotational Transform and Attention Gate for Retinal Vessel Segmentation</w:t>
            </w:r>
          </w:p>
        </w:tc>
      </w:tr>
      <w:tr w:rsidR="00D97838" w:rsidRPr="00AE1338" w14:paraId="7FBC86DC" w14:textId="77777777" w:rsidTr="008118A9">
        <w:trPr>
          <w:jc w:val="center"/>
        </w:trPr>
        <w:tc>
          <w:tcPr>
            <w:tcW w:w="1696" w:type="dxa"/>
            <w:vAlign w:val="center"/>
          </w:tcPr>
          <w:p w14:paraId="060E0175" w14:textId="1934E96C" w:rsidR="00D97838" w:rsidRPr="004066FB" w:rsidRDefault="00D97838" w:rsidP="004066FB">
            <w:pPr>
              <w:spacing w:after="0" w:line="240" w:lineRule="auto"/>
              <w:jc w:val="center"/>
              <w:rPr>
                <w:rFonts w:ascii="Arial" w:hAnsi="Arial" w:cs="Arial"/>
                <w:b/>
                <w:bCs/>
                <w:color w:val="000000"/>
                <w:sz w:val="20"/>
                <w:szCs w:val="20"/>
              </w:rPr>
            </w:pPr>
            <w:r>
              <w:rPr>
                <w:rFonts w:ascii="Arial" w:hAnsi="Arial" w:cs="Arial"/>
                <w:b/>
                <w:bCs/>
                <w:color w:val="000000"/>
                <w:sz w:val="20"/>
                <w:szCs w:val="20"/>
              </w:rPr>
              <w:t>12:00-12.20</w:t>
            </w:r>
          </w:p>
        </w:tc>
        <w:tc>
          <w:tcPr>
            <w:tcW w:w="1701" w:type="dxa"/>
            <w:vAlign w:val="center"/>
          </w:tcPr>
          <w:p w14:paraId="625AA81D" w14:textId="233DBE96" w:rsidR="00D97838" w:rsidRDefault="00D97838" w:rsidP="004066FB">
            <w:pPr>
              <w:spacing w:after="0" w:line="240" w:lineRule="auto"/>
              <w:jc w:val="center"/>
              <w:rPr>
                <w:rFonts w:ascii="Arial" w:hAnsi="Arial" w:cs="Arial"/>
                <w:color w:val="000000"/>
                <w:sz w:val="20"/>
                <w:szCs w:val="20"/>
              </w:rPr>
            </w:pPr>
            <w:r>
              <w:rPr>
                <w:rFonts w:ascii="Arial" w:hAnsi="Arial" w:cs="Arial"/>
                <w:color w:val="000000"/>
                <w:sz w:val="20"/>
                <w:szCs w:val="20"/>
              </w:rPr>
              <w:t>128</w:t>
            </w:r>
          </w:p>
        </w:tc>
        <w:tc>
          <w:tcPr>
            <w:tcW w:w="6339" w:type="dxa"/>
            <w:vAlign w:val="center"/>
          </w:tcPr>
          <w:p w14:paraId="4AF04CBB" w14:textId="573E6ADC" w:rsidR="00D97838" w:rsidRDefault="00D97838" w:rsidP="004066FB">
            <w:pPr>
              <w:spacing w:after="0" w:line="240" w:lineRule="auto"/>
              <w:jc w:val="center"/>
              <w:rPr>
                <w:rFonts w:ascii="Arial" w:hAnsi="Arial" w:cs="Arial"/>
                <w:color w:val="000000"/>
                <w:sz w:val="20"/>
                <w:szCs w:val="20"/>
              </w:rPr>
            </w:pPr>
            <w:r w:rsidRPr="00D97838">
              <w:rPr>
                <w:rFonts w:ascii="Arial" w:hAnsi="Arial" w:cs="Arial"/>
                <w:color w:val="000000"/>
                <w:sz w:val="20"/>
                <w:szCs w:val="20"/>
              </w:rPr>
              <w:t>Accounting System Digitalization and Corporate Governance as Determinants of Notes to Financial Statements Disclosure Quality</w:t>
            </w:r>
          </w:p>
        </w:tc>
      </w:tr>
    </w:tbl>
    <w:p w14:paraId="4708AE1C" w14:textId="77777777" w:rsidR="002A356F" w:rsidRDefault="002A356F" w:rsidP="00A51969">
      <w:pPr>
        <w:spacing w:after="0" w:line="240" w:lineRule="auto"/>
        <w:rPr>
          <w:rFonts w:ascii="Arial" w:hAnsi="Arial" w:cs="Arial"/>
          <w:b/>
          <w:bCs/>
          <w:sz w:val="20"/>
          <w:szCs w:val="20"/>
          <w:lang w:val="en-US"/>
        </w:rPr>
      </w:pPr>
    </w:p>
    <w:p w14:paraId="0582E0C6" w14:textId="77777777" w:rsidR="00FB07B7" w:rsidRDefault="00FB07B7" w:rsidP="00A51969">
      <w:pPr>
        <w:spacing w:after="0" w:line="240" w:lineRule="auto"/>
        <w:rPr>
          <w:rFonts w:ascii="Arial" w:hAnsi="Arial" w:cs="Arial"/>
          <w:b/>
          <w:bCs/>
          <w:sz w:val="20"/>
          <w:szCs w:val="20"/>
          <w:lang w:val="en-US"/>
        </w:rPr>
      </w:pPr>
    </w:p>
    <w:p w14:paraId="592C8E63" w14:textId="77777777" w:rsidR="00FB07B7" w:rsidRDefault="00FB07B7" w:rsidP="00A51969">
      <w:pPr>
        <w:spacing w:after="0" w:line="240" w:lineRule="auto"/>
        <w:rPr>
          <w:rFonts w:ascii="Arial" w:hAnsi="Arial" w:cs="Arial"/>
          <w:b/>
          <w:bCs/>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gridCol w:w="6339"/>
      </w:tblGrid>
      <w:tr w:rsidR="00A91B43" w:rsidRPr="00AE1338" w14:paraId="7C6700D1" w14:textId="77777777" w:rsidTr="007C6E48">
        <w:trPr>
          <w:jc w:val="center"/>
        </w:trPr>
        <w:tc>
          <w:tcPr>
            <w:tcW w:w="0" w:type="auto"/>
            <w:gridSpan w:val="3"/>
            <w:vAlign w:val="center"/>
          </w:tcPr>
          <w:p w14:paraId="1AA0FA42" w14:textId="77777777" w:rsidR="00A91B43" w:rsidRPr="00AE1338" w:rsidRDefault="00A91B43" w:rsidP="00A51969">
            <w:pPr>
              <w:spacing w:after="0" w:line="240" w:lineRule="auto"/>
              <w:jc w:val="right"/>
              <w:rPr>
                <w:rFonts w:ascii="Arial" w:hAnsi="Arial" w:cs="Arial"/>
                <w:b/>
                <w:bCs/>
                <w:sz w:val="20"/>
                <w:szCs w:val="20"/>
                <w:lang w:val="en-US"/>
              </w:rPr>
            </w:pPr>
            <w:r>
              <w:rPr>
                <w:rFonts w:ascii="Arial" w:hAnsi="Arial" w:cs="Arial"/>
                <w:b/>
                <w:bCs/>
                <w:sz w:val="20"/>
                <w:szCs w:val="20"/>
                <w:lang w:val="en-US"/>
              </w:rPr>
              <w:t>20</w:t>
            </w:r>
            <w:r w:rsidRPr="00AE1338">
              <w:rPr>
                <w:rFonts w:ascii="Arial" w:hAnsi="Arial" w:cs="Arial"/>
                <w:b/>
                <w:bCs/>
                <w:sz w:val="20"/>
                <w:szCs w:val="20"/>
                <w:vertAlign w:val="superscript"/>
                <w:lang w:val="en-US"/>
              </w:rPr>
              <w:t>th</w:t>
            </w:r>
            <w:r w:rsidRPr="00AE1338">
              <w:rPr>
                <w:rFonts w:ascii="Arial" w:hAnsi="Arial" w:cs="Arial"/>
                <w:b/>
                <w:bCs/>
                <w:sz w:val="20"/>
                <w:szCs w:val="20"/>
                <w:lang w:val="en-US"/>
              </w:rPr>
              <w:t xml:space="preserve"> August 2025</w:t>
            </w:r>
          </w:p>
          <w:p w14:paraId="2CAD834E" w14:textId="47492738" w:rsidR="00A91B43" w:rsidRPr="00AE1338" w:rsidRDefault="00971246"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 xml:space="preserve">Parallel Session </w:t>
            </w:r>
            <w:r w:rsidR="00A91B43">
              <w:rPr>
                <w:rFonts w:ascii="Arial" w:hAnsi="Arial" w:cs="Arial"/>
                <w:b/>
                <w:bCs/>
                <w:sz w:val="20"/>
                <w:szCs w:val="20"/>
                <w:lang w:val="en-US"/>
              </w:rPr>
              <w:t>J</w:t>
            </w:r>
          </w:p>
          <w:p w14:paraId="17930C33" w14:textId="22378ED2" w:rsidR="00A91B43" w:rsidRPr="00AE1338" w:rsidRDefault="00A91B43"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Session Chair:</w:t>
            </w:r>
            <w:r>
              <w:rPr>
                <w:rFonts w:ascii="Arial" w:hAnsi="Arial" w:cs="Arial"/>
                <w:b/>
                <w:bCs/>
                <w:sz w:val="20"/>
                <w:szCs w:val="20"/>
                <w:lang w:val="en-US"/>
              </w:rPr>
              <w:t xml:space="preserve"> </w:t>
            </w:r>
            <w:r w:rsidR="00E21EAA" w:rsidRPr="00E21EAA">
              <w:rPr>
                <w:rFonts w:ascii="Arial" w:hAnsi="Arial" w:cs="Arial"/>
                <w:b/>
                <w:bCs/>
                <w:sz w:val="20"/>
                <w:szCs w:val="20"/>
                <w:lang w:val="en-US"/>
              </w:rPr>
              <w:t>Fitriya., SE., MBA., PhD - Scopus ID: 55636223700</w:t>
            </w:r>
          </w:p>
          <w:p w14:paraId="7F47B13A" w14:textId="77777777" w:rsidR="00A91B43" w:rsidRPr="00AE1338" w:rsidRDefault="00A91B43" w:rsidP="00A51969">
            <w:pPr>
              <w:spacing w:after="0" w:line="240" w:lineRule="auto"/>
              <w:rPr>
                <w:rFonts w:ascii="Arial" w:hAnsi="Arial" w:cs="Arial"/>
                <w:b/>
                <w:bCs/>
                <w:sz w:val="20"/>
                <w:szCs w:val="20"/>
                <w:lang w:val="en-US"/>
              </w:rPr>
            </w:pPr>
            <w:r w:rsidRPr="00AE1338">
              <w:rPr>
                <w:rFonts w:ascii="Arial" w:hAnsi="Arial" w:cs="Arial"/>
                <w:b/>
                <w:bCs/>
                <w:sz w:val="20"/>
                <w:szCs w:val="20"/>
                <w:lang w:val="en-US"/>
              </w:rPr>
              <w:t xml:space="preserve">Location: </w:t>
            </w:r>
            <w:r>
              <w:rPr>
                <w:rFonts w:ascii="Arial" w:hAnsi="Arial" w:cs="Arial"/>
                <w:b/>
                <w:bCs/>
                <w:sz w:val="20"/>
                <w:szCs w:val="20"/>
                <w:lang w:val="en-US"/>
              </w:rPr>
              <w:t xml:space="preserve">Online </w:t>
            </w:r>
          </w:p>
        </w:tc>
      </w:tr>
      <w:tr w:rsidR="004B65CC" w:rsidRPr="00AE1338" w14:paraId="6F67647C" w14:textId="77777777" w:rsidTr="007C6E48">
        <w:trPr>
          <w:jc w:val="center"/>
        </w:trPr>
        <w:tc>
          <w:tcPr>
            <w:tcW w:w="1696" w:type="dxa"/>
            <w:vAlign w:val="center"/>
          </w:tcPr>
          <w:p w14:paraId="169750C8" w14:textId="77777777" w:rsidR="004B65CC" w:rsidRPr="00AE1338" w:rsidRDefault="004B65CC" w:rsidP="00A51969">
            <w:pPr>
              <w:spacing w:after="0" w:line="240" w:lineRule="auto"/>
              <w:jc w:val="center"/>
              <w:rPr>
                <w:rFonts w:ascii="Arial" w:hAnsi="Arial" w:cs="Arial"/>
                <w:b/>
                <w:bCs/>
                <w:sz w:val="20"/>
                <w:szCs w:val="20"/>
                <w:lang w:val="en-US"/>
              </w:rPr>
            </w:pPr>
            <w:r>
              <w:rPr>
                <w:rFonts w:ascii="Arial" w:hAnsi="Arial" w:cs="Arial"/>
                <w:b/>
                <w:bCs/>
                <w:sz w:val="20"/>
                <w:szCs w:val="20"/>
                <w:lang w:val="en-US"/>
              </w:rPr>
              <w:t>Time (Istanbul Turkiye)</w:t>
            </w:r>
          </w:p>
        </w:tc>
        <w:tc>
          <w:tcPr>
            <w:tcW w:w="1701" w:type="dxa"/>
            <w:vAlign w:val="center"/>
          </w:tcPr>
          <w:p w14:paraId="4602D010" w14:textId="09E5BAD1"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 xml:space="preserve">Paper </w:t>
            </w:r>
            <w:r>
              <w:rPr>
                <w:rFonts w:ascii="Arial" w:hAnsi="Arial" w:cs="Arial"/>
                <w:b/>
                <w:bCs/>
                <w:sz w:val="20"/>
                <w:szCs w:val="20"/>
                <w:lang w:val="en-US"/>
              </w:rPr>
              <w:t>ID</w:t>
            </w:r>
          </w:p>
        </w:tc>
        <w:tc>
          <w:tcPr>
            <w:tcW w:w="6339" w:type="dxa"/>
            <w:vAlign w:val="center"/>
          </w:tcPr>
          <w:p w14:paraId="74F4D39F" w14:textId="299D0FAD" w:rsidR="004B65CC" w:rsidRPr="00AE1338" w:rsidRDefault="004B65CC" w:rsidP="00A51969">
            <w:pPr>
              <w:spacing w:after="0" w:line="240" w:lineRule="auto"/>
              <w:jc w:val="center"/>
              <w:rPr>
                <w:rFonts w:ascii="Arial" w:hAnsi="Arial" w:cs="Arial"/>
                <w:b/>
                <w:bCs/>
                <w:sz w:val="20"/>
                <w:szCs w:val="20"/>
                <w:lang w:val="en-US"/>
              </w:rPr>
            </w:pPr>
            <w:r w:rsidRPr="00E84230">
              <w:rPr>
                <w:rFonts w:ascii="Arial" w:hAnsi="Arial" w:cs="Arial"/>
                <w:b/>
                <w:bCs/>
                <w:sz w:val="20"/>
                <w:szCs w:val="20"/>
                <w:lang w:val="en-US"/>
              </w:rPr>
              <w:t>Paper</w:t>
            </w:r>
            <w:r>
              <w:rPr>
                <w:rFonts w:ascii="Arial" w:hAnsi="Arial" w:cs="Arial"/>
                <w:b/>
                <w:bCs/>
                <w:sz w:val="20"/>
                <w:szCs w:val="20"/>
                <w:lang w:val="en-US"/>
              </w:rPr>
              <w:t xml:space="preserve"> Title</w:t>
            </w:r>
          </w:p>
        </w:tc>
      </w:tr>
      <w:tr w:rsidR="004066FB" w:rsidRPr="00AE1338" w14:paraId="65C24A9D" w14:textId="77777777" w:rsidTr="00C85D05">
        <w:trPr>
          <w:jc w:val="center"/>
        </w:trPr>
        <w:tc>
          <w:tcPr>
            <w:tcW w:w="1696" w:type="dxa"/>
            <w:vAlign w:val="center"/>
          </w:tcPr>
          <w:p w14:paraId="6C86CE46" w14:textId="6B547D22" w:rsidR="004066FB"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09:00–09:20</w:t>
            </w:r>
          </w:p>
        </w:tc>
        <w:tc>
          <w:tcPr>
            <w:tcW w:w="1701" w:type="dxa"/>
            <w:vAlign w:val="center"/>
          </w:tcPr>
          <w:p w14:paraId="0AA43C8F" w14:textId="11157290"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174</w:t>
            </w:r>
          </w:p>
        </w:tc>
        <w:tc>
          <w:tcPr>
            <w:tcW w:w="6339" w:type="dxa"/>
            <w:vAlign w:val="center"/>
          </w:tcPr>
          <w:p w14:paraId="59B3E76E" w14:textId="7ED8A798"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 Revenue Stability Framework for Sustainable E-Commerce Marketplaces: Empirical Evidence from Fashion Sellers on Shopee Indonesia</w:t>
            </w:r>
          </w:p>
        </w:tc>
      </w:tr>
      <w:tr w:rsidR="004066FB" w:rsidRPr="00AE1338" w14:paraId="786BE679" w14:textId="77777777" w:rsidTr="00C85D05">
        <w:trPr>
          <w:jc w:val="center"/>
        </w:trPr>
        <w:tc>
          <w:tcPr>
            <w:tcW w:w="1696" w:type="dxa"/>
            <w:vAlign w:val="center"/>
          </w:tcPr>
          <w:p w14:paraId="69B55933" w14:textId="061276B9"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09:20–09:40</w:t>
            </w:r>
          </w:p>
        </w:tc>
        <w:tc>
          <w:tcPr>
            <w:tcW w:w="1701" w:type="dxa"/>
            <w:vAlign w:val="center"/>
          </w:tcPr>
          <w:p w14:paraId="6D2BF681" w14:textId="58A275A4"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175</w:t>
            </w:r>
          </w:p>
        </w:tc>
        <w:tc>
          <w:tcPr>
            <w:tcW w:w="6339" w:type="dxa"/>
            <w:vAlign w:val="center"/>
          </w:tcPr>
          <w:p w14:paraId="4A9CB22B" w14:textId="6B880558"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AR Virtual Try-On as a Driver of Purchase Intention of Makeup Brands in E-Commerce through Perceived Value and Brand Preference</w:t>
            </w:r>
          </w:p>
        </w:tc>
      </w:tr>
      <w:tr w:rsidR="004066FB" w:rsidRPr="00AE1338" w14:paraId="2C51EC3C" w14:textId="77777777" w:rsidTr="00C85D05">
        <w:trPr>
          <w:jc w:val="center"/>
        </w:trPr>
        <w:tc>
          <w:tcPr>
            <w:tcW w:w="1696" w:type="dxa"/>
            <w:vAlign w:val="center"/>
          </w:tcPr>
          <w:p w14:paraId="5E759B67" w14:textId="6833107A"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09:40–10:00</w:t>
            </w:r>
          </w:p>
        </w:tc>
        <w:tc>
          <w:tcPr>
            <w:tcW w:w="1701" w:type="dxa"/>
            <w:vAlign w:val="center"/>
          </w:tcPr>
          <w:p w14:paraId="60D7AA63" w14:textId="5C41E8F8"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178</w:t>
            </w:r>
          </w:p>
        </w:tc>
        <w:tc>
          <w:tcPr>
            <w:tcW w:w="6339" w:type="dxa"/>
            <w:vAlign w:val="center"/>
          </w:tcPr>
          <w:p w14:paraId="4CB08E5A" w14:textId="6793506D"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Can Digital Infrastructure Reduce Zombie Firms? Evidence from Four Asian Economies</w:t>
            </w:r>
          </w:p>
        </w:tc>
      </w:tr>
      <w:tr w:rsidR="004066FB" w:rsidRPr="00AE1338" w14:paraId="587E2C11" w14:textId="77777777" w:rsidTr="00C85D05">
        <w:trPr>
          <w:jc w:val="center"/>
        </w:trPr>
        <w:tc>
          <w:tcPr>
            <w:tcW w:w="1696" w:type="dxa"/>
            <w:vAlign w:val="center"/>
          </w:tcPr>
          <w:p w14:paraId="5DE095F5" w14:textId="0B3593F4"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10:00–10:20</w:t>
            </w:r>
          </w:p>
        </w:tc>
        <w:tc>
          <w:tcPr>
            <w:tcW w:w="1701" w:type="dxa"/>
            <w:vAlign w:val="center"/>
          </w:tcPr>
          <w:p w14:paraId="0BE5C1E2" w14:textId="198159BD"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182</w:t>
            </w:r>
          </w:p>
        </w:tc>
        <w:tc>
          <w:tcPr>
            <w:tcW w:w="6339" w:type="dxa"/>
            <w:vAlign w:val="center"/>
          </w:tcPr>
          <w:p w14:paraId="084BA178" w14:textId="125C6FF8"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Design and Development of a Strategic Governance Assessment Tool for an Integrated IT Governance</w:t>
            </w:r>
          </w:p>
        </w:tc>
      </w:tr>
      <w:tr w:rsidR="004066FB" w:rsidRPr="00AE1338" w14:paraId="5E546743" w14:textId="77777777" w:rsidTr="00C85D05">
        <w:trPr>
          <w:jc w:val="center"/>
        </w:trPr>
        <w:tc>
          <w:tcPr>
            <w:tcW w:w="1696" w:type="dxa"/>
            <w:vAlign w:val="center"/>
          </w:tcPr>
          <w:p w14:paraId="7B6D8035" w14:textId="533C145B"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10:20–10:40</w:t>
            </w:r>
          </w:p>
        </w:tc>
        <w:tc>
          <w:tcPr>
            <w:tcW w:w="1701" w:type="dxa"/>
            <w:vAlign w:val="center"/>
          </w:tcPr>
          <w:p w14:paraId="32DC7102" w14:textId="7F403B6E"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184</w:t>
            </w:r>
          </w:p>
        </w:tc>
        <w:tc>
          <w:tcPr>
            <w:tcW w:w="6339" w:type="dxa"/>
            <w:vAlign w:val="center"/>
          </w:tcPr>
          <w:p w14:paraId="4DE82807" w14:textId="5E34EFF5"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Privacy-Sensitive Generative AI Sourcing in Federal Information Systems</w:t>
            </w:r>
          </w:p>
        </w:tc>
      </w:tr>
      <w:tr w:rsidR="004066FB" w:rsidRPr="00AE1338" w14:paraId="533BEEA6" w14:textId="77777777" w:rsidTr="00C85D05">
        <w:trPr>
          <w:jc w:val="center"/>
        </w:trPr>
        <w:tc>
          <w:tcPr>
            <w:tcW w:w="1696" w:type="dxa"/>
            <w:vAlign w:val="center"/>
          </w:tcPr>
          <w:p w14:paraId="670A638F" w14:textId="02EF6BB0"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10:40–11:00</w:t>
            </w:r>
          </w:p>
        </w:tc>
        <w:tc>
          <w:tcPr>
            <w:tcW w:w="1701" w:type="dxa"/>
            <w:vAlign w:val="center"/>
          </w:tcPr>
          <w:p w14:paraId="149A4636" w14:textId="2FE673B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185</w:t>
            </w:r>
          </w:p>
        </w:tc>
        <w:tc>
          <w:tcPr>
            <w:tcW w:w="6339" w:type="dxa"/>
            <w:vAlign w:val="center"/>
          </w:tcPr>
          <w:p w14:paraId="7D84303F" w14:textId="36F28BB9"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Artificial Intelligence-Driven Tax Compliance Architecture for Addressing Corporate Tax Avoidance</w:t>
            </w:r>
          </w:p>
        </w:tc>
      </w:tr>
      <w:tr w:rsidR="004066FB" w:rsidRPr="00AE1338" w14:paraId="31DF9944" w14:textId="77777777" w:rsidTr="00C85D05">
        <w:trPr>
          <w:jc w:val="center"/>
        </w:trPr>
        <w:tc>
          <w:tcPr>
            <w:tcW w:w="1696" w:type="dxa"/>
            <w:vAlign w:val="center"/>
          </w:tcPr>
          <w:p w14:paraId="3D3F499F" w14:textId="2A45BC3E"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11:00–11:20</w:t>
            </w:r>
          </w:p>
        </w:tc>
        <w:tc>
          <w:tcPr>
            <w:tcW w:w="1701" w:type="dxa"/>
            <w:vAlign w:val="center"/>
          </w:tcPr>
          <w:p w14:paraId="3FF82125" w14:textId="11E71A4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187</w:t>
            </w:r>
          </w:p>
        </w:tc>
        <w:tc>
          <w:tcPr>
            <w:tcW w:w="6339" w:type="dxa"/>
            <w:vAlign w:val="center"/>
          </w:tcPr>
          <w:p w14:paraId="2D1C4DC0" w14:textId="69E859CE"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Understanding Financial Statement Fraud in ASEAN Banks through the Fraud Diamond Theory</w:t>
            </w:r>
          </w:p>
        </w:tc>
      </w:tr>
      <w:tr w:rsidR="004066FB" w:rsidRPr="00AE1338" w14:paraId="104C354D" w14:textId="77777777" w:rsidTr="00C85D05">
        <w:trPr>
          <w:jc w:val="center"/>
        </w:trPr>
        <w:tc>
          <w:tcPr>
            <w:tcW w:w="1696" w:type="dxa"/>
            <w:vAlign w:val="center"/>
          </w:tcPr>
          <w:p w14:paraId="6A07895C" w14:textId="2BE7F303"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11:20–11:40</w:t>
            </w:r>
          </w:p>
        </w:tc>
        <w:tc>
          <w:tcPr>
            <w:tcW w:w="1701" w:type="dxa"/>
            <w:vAlign w:val="center"/>
          </w:tcPr>
          <w:p w14:paraId="3E2D8F73" w14:textId="11CA1446"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189</w:t>
            </w:r>
          </w:p>
        </w:tc>
        <w:tc>
          <w:tcPr>
            <w:tcW w:w="6339" w:type="dxa"/>
            <w:vAlign w:val="center"/>
          </w:tcPr>
          <w:p w14:paraId="74E5005F" w14:textId="10786C24"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A Predictive Pipeline Maintenance Model to Improve Water Utility Efficiency</w:t>
            </w:r>
          </w:p>
        </w:tc>
      </w:tr>
      <w:tr w:rsidR="004066FB" w:rsidRPr="00AE1338" w14:paraId="252C3792" w14:textId="77777777" w:rsidTr="00C85D05">
        <w:trPr>
          <w:jc w:val="center"/>
        </w:trPr>
        <w:tc>
          <w:tcPr>
            <w:tcW w:w="1696" w:type="dxa"/>
            <w:vAlign w:val="center"/>
          </w:tcPr>
          <w:p w14:paraId="56A576F4" w14:textId="68AA52FB"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11:40–12:00</w:t>
            </w:r>
          </w:p>
        </w:tc>
        <w:tc>
          <w:tcPr>
            <w:tcW w:w="1701" w:type="dxa"/>
            <w:vAlign w:val="center"/>
          </w:tcPr>
          <w:p w14:paraId="24D16062" w14:textId="76D96915"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195</w:t>
            </w:r>
          </w:p>
        </w:tc>
        <w:tc>
          <w:tcPr>
            <w:tcW w:w="6339" w:type="dxa"/>
            <w:vAlign w:val="center"/>
          </w:tcPr>
          <w:p w14:paraId="0F6B5F1B" w14:textId="14A0281B"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 xml:space="preserve">Comprehensive Evolution Framework </w:t>
            </w:r>
            <w:proofErr w:type="gramStart"/>
            <w:r>
              <w:rPr>
                <w:rFonts w:ascii="Arial" w:hAnsi="Arial" w:cs="Arial"/>
                <w:color w:val="000000"/>
                <w:sz w:val="20"/>
                <w:szCs w:val="20"/>
              </w:rPr>
              <w:t>For</w:t>
            </w:r>
            <w:proofErr w:type="gramEnd"/>
            <w:r>
              <w:rPr>
                <w:rFonts w:ascii="Arial" w:hAnsi="Arial" w:cs="Arial"/>
                <w:color w:val="000000"/>
                <w:sz w:val="20"/>
                <w:szCs w:val="20"/>
              </w:rPr>
              <w:t xml:space="preserve"> TVET 5.0: Integrating Human-Centricity </w:t>
            </w:r>
            <w:proofErr w:type="gramStart"/>
            <w:r>
              <w:rPr>
                <w:rFonts w:ascii="Arial" w:hAnsi="Arial" w:cs="Arial"/>
                <w:color w:val="000000"/>
                <w:sz w:val="20"/>
                <w:szCs w:val="20"/>
              </w:rPr>
              <w:t>And</w:t>
            </w:r>
            <w:proofErr w:type="gramEnd"/>
            <w:r>
              <w:rPr>
                <w:rFonts w:ascii="Arial" w:hAnsi="Arial" w:cs="Arial"/>
                <w:color w:val="000000"/>
                <w:sz w:val="20"/>
                <w:szCs w:val="20"/>
              </w:rPr>
              <w:t xml:space="preserve"> Digital Symbiosis </w:t>
            </w:r>
            <w:proofErr w:type="gramStart"/>
            <w:r>
              <w:rPr>
                <w:rFonts w:ascii="Arial" w:hAnsi="Arial" w:cs="Arial"/>
                <w:color w:val="000000"/>
                <w:sz w:val="20"/>
                <w:szCs w:val="20"/>
              </w:rPr>
              <w:t>In</w:t>
            </w:r>
            <w:proofErr w:type="gramEnd"/>
            <w:r>
              <w:rPr>
                <w:rFonts w:ascii="Arial" w:hAnsi="Arial" w:cs="Arial"/>
                <w:color w:val="000000"/>
                <w:sz w:val="20"/>
                <w:szCs w:val="20"/>
              </w:rPr>
              <w:t xml:space="preserve"> Vocational Education</w:t>
            </w:r>
          </w:p>
        </w:tc>
      </w:tr>
      <w:tr w:rsidR="004066FB" w:rsidRPr="00AE1338" w14:paraId="59E97D9A" w14:textId="77777777" w:rsidTr="00C85D05">
        <w:trPr>
          <w:jc w:val="center"/>
        </w:trPr>
        <w:tc>
          <w:tcPr>
            <w:tcW w:w="1696" w:type="dxa"/>
            <w:vAlign w:val="center"/>
          </w:tcPr>
          <w:p w14:paraId="2C5CAEB0" w14:textId="188A243A" w:rsidR="004066FB" w:rsidRPr="00AE1338" w:rsidRDefault="004066FB" w:rsidP="004066FB">
            <w:pPr>
              <w:spacing w:after="0" w:line="240" w:lineRule="auto"/>
              <w:jc w:val="center"/>
              <w:rPr>
                <w:rFonts w:ascii="Arial" w:hAnsi="Arial" w:cs="Arial"/>
                <w:b/>
                <w:bCs/>
                <w:sz w:val="20"/>
                <w:szCs w:val="20"/>
                <w:lang w:val="en-US"/>
              </w:rPr>
            </w:pPr>
            <w:r w:rsidRPr="004066FB">
              <w:rPr>
                <w:rFonts w:ascii="Arial" w:hAnsi="Arial" w:cs="Arial"/>
                <w:b/>
                <w:bCs/>
                <w:color w:val="000000"/>
                <w:sz w:val="20"/>
                <w:szCs w:val="20"/>
              </w:rPr>
              <w:t>1</w:t>
            </w:r>
            <w:r>
              <w:rPr>
                <w:rFonts w:ascii="Arial" w:hAnsi="Arial" w:cs="Arial"/>
                <w:b/>
                <w:bCs/>
                <w:color w:val="000000"/>
                <w:sz w:val="20"/>
                <w:szCs w:val="20"/>
              </w:rPr>
              <w:t>2</w:t>
            </w:r>
            <w:r w:rsidRPr="004066FB">
              <w:rPr>
                <w:rFonts w:ascii="Arial" w:hAnsi="Arial" w:cs="Arial"/>
                <w:b/>
                <w:bCs/>
                <w:color w:val="000000"/>
                <w:sz w:val="20"/>
                <w:szCs w:val="20"/>
              </w:rPr>
              <w:t>:00–1</w:t>
            </w:r>
            <w:r>
              <w:rPr>
                <w:rFonts w:ascii="Arial" w:hAnsi="Arial" w:cs="Arial"/>
                <w:b/>
                <w:bCs/>
                <w:color w:val="000000"/>
                <w:sz w:val="20"/>
                <w:szCs w:val="20"/>
              </w:rPr>
              <w:t>2</w:t>
            </w:r>
            <w:r w:rsidRPr="004066FB">
              <w:rPr>
                <w:rFonts w:ascii="Arial" w:hAnsi="Arial" w:cs="Arial"/>
                <w:b/>
                <w:bCs/>
                <w:color w:val="000000"/>
                <w:sz w:val="20"/>
                <w:szCs w:val="20"/>
              </w:rPr>
              <w:t>:20</w:t>
            </w:r>
          </w:p>
        </w:tc>
        <w:tc>
          <w:tcPr>
            <w:tcW w:w="1701" w:type="dxa"/>
            <w:vAlign w:val="center"/>
          </w:tcPr>
          <w:p w14:paraId="7AA656D2" w14:textId="7D341C68"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200</w:t>
            </w:r>
          </w:p>
        </w:tc>
        <w:tc>
          <w:tcPr>
            <w:tcW w:w="6339" w:type="dxa"/>
            <w:vAlign w:val="center"/>
          </w:tcPr>
          <w:p w14:paraId="5A5DC207" w14:textId="5332A9EE" w:rsidR="004066FB" w:rsidRPr="00AE1338" w:rsidRDefault="004066FB" w:rsidP="004066FB">
            <w:pPr>
              <w:spacing w:after="0" w:line="240" w:lineRule="auto"/>
              <w:jc w:val="center"/>
              <w:rPr>
                <w:rFonts w:ascii="Arial" w:hAnsi="Arial" w:cs="Arial"/>
                <w:sz w:val="20"/>
                <w:szCs w:val="20"/>
                <w:lang w:val="en-US"/>
              </w:rPr>
            </w:pPr>
            <w:r>
              <w:rPr>
                <w:rFonts w:ascii="Arial" w:hAnsi="Arial" w:cs="Arial"/>
                <w:color w:val="000000"/>
                <w:sz w:val="20"/>
                <w:szCs w:val="20"/>
              </w:rPr>
              <w:t>Mapping Trustworthy Retrieval-Augmented Generation: A Multidimensional Landscape Across Pipeline Stages</w:t>
            </w:r>
          </w:p>
        </w:tc>
      </w:tr>
      <w:tr w:rsidR="006B64FC" w:rsidRPr="00AE1338" w14:paraId="60EB6FC5" w14:textId="77777777" w:rsidTr="00C85D05">
        <w:trPr>
          <w:jc w:val="center"/>
        </w:trPr>
        <w:tc>
          <w:tcPr>
            <w:tcW w:w="1696" w:type="dxa"/>
            <w:vAlign w:val="center"/>
          </w:tcPr>
          <w:p w14:paraId="3042F8AE" w14:textId="5D9704E7" w:rsidR="006B64FC" w:rsidRPr="004066FB" w:rsidRDefault="006B64FC" w:rsidP="004066FB">
            <w:pPr>
              <w:spacing w:after="0" w:line="240" w:lineRule="auto"/>
              <w:jc w:val="center"/>
              <w:rPr>
                <w:rFonts w:ascii="Arial" w:hAnsi="Arial" w:cs="Arial"/>
                <w:b/>
                <w:bCs/>
                <w:color w:val="000000"/>
                <w:sz w:val="20"/>
                <w:szCs w:val="20"/>
              </w:rPr>
            </w:pPr>
            <w:r w:rsidRPr="006B64FC">
              <w:rPr>
                <w:rFonts w:ascii="Arial" w:hAnsi="Arial" w:cs="Arial"/>
                <w:b/>
                <w:bCs/>
                <w:color w:val="000000"/>
                <w:sz w:val="20"/>
                <w:szCs w:val="20"/>
              </w:rPr>
              <w:t>12:</w:t>
            </w:r>
            <w:r>
              <w:rPr>
                <w:rFonts w:ascii="Arial" w:hAnsi="Arial" w:cs="Arial"/>
                <w:b/>
                <w:bCs/>
                <w:color w:val="000000"/>
                <w:sz w:val="20"/>
                <w:szCs w:val="20"/>
              </w:rPr>
              <w:t>2</w:t>
            </w:r>
            <w:r w:rsidRPr="006B64FC">
              <w:rPr>
                <w:rFonts w:ascii="Arial" w:hAnsi="Arial" w:cs="Arial"/>
                <w:b/>
                <w:bCs/>
                <w:color w:val="000000"/>
                <w:sz w:val="20"/>
                <w:szCs w:val="20"/>
              </w:rPr>
              <w:t>0–12:</w:t>
            </w:r>
            <w:r>
              <w:rPr>
                <w:rFonts w:ascii="Arial" w:hAnsi="Arial" w:cs="Arial"/>
                <w:b/>
                <w:bCs/>
                <w:color w:val="000000"/>
                <w:sz w:val="20"/>
                <w:szCs w:val="20"/>
              </w:rPr>
              <w:t>40</w:t>
            </w:r>
          </w:p>
        </w:tc>
        <w:tc>
          <w:tcPr>
            <w:tcW w:w="1701" w:type="dxa"/>
            <w:vAlign w:val="center"/>
          </w:tcPr>
          <w:p w14:paraId="144AEEA6" w14:textId="6E9433A9" w:rsidR="006B64FC" w:rsidRDefault="006B64FC" w:rsidP="004066FB">
            <w:pPr>
              <w:spacing w:after="0" w:line="240" w:lineRule="auto"/>
              <w:jc w:val="center"/>
              <w:rPr>
                <w:rFonts w:ascii="Arial" w:hAnsi="Arial" w:cs="Arial"/>
                <w:color w:val="000000"/>
                <w:sz w:val="20"/>
                <w:szCs w:val="20"/>
              </w:rPr>
            </w:pPr>
            <w:r>
              <w:rPr>
                <w:rFonts w:ascii="Arial" w:hAnsi="Arial" w:cs="Arial"/>
                <w:color w:val="000000"/>
                <w:sz w:val="20"/>
                <w:szCs w:val="20"/>
              </w:rPr>
              <w:t>205</w:t>
            </w:r>
          </w:p>
        </w:tc>
        <w:tc>
          <w:tcPr>
            <w:tcW w:w="6339" w:type="dxa"/>
            <w:vAlign w:val="center"/>
          </w:tcPr>
          <w:p w14:paraId="19B21C11" w14:textId="69A32132" w:rsidR="006B64FC" w:rsidRDefault="006B64FC" w:rsidP="004066FB">
            <w:pPr>
              <w:spacing w:after="0" w:line="240" w:lineRule="auto"/>
              <w:jc w:val="center"/>
              <w:rPr>
                <w:rFonts w:ascii="Arial" w:hAnsi="Arial" w:cs="Arial"/>
                <w:color w:val="000000"/>
                <w:sz w:val="20"/>
                <w:szCs w:val="20"/>
              </w:rPr>
            </w:pPr>
            <w:r w:rsidRPr="006B64FC">
              <w:rPr>
                <w:rFonts w:ascii="Arial" w:hAnsi="Arial" w:cs="Arial"/>
                <w:color w:val="000000"/>
                <w:sz w:val="20"/>
                <w:szCs w:val="20"/>
              </w:rPr>
              <w:t>Preliminary Research on the Indonesian E-Tax Administration System Effectiveness in Supporting Tax Compliance</w:t>
            </w:r>
          </w:p>
        </w:tc>
      </w:tr>
    </w:tbl>
    <w:p w14:paraId="7C3CB824" w14:textId="77777777" w:rsidR="00A91B43" w:rsidRPr="00AE1338" w:rsidRDefault="00A91B43" w:rsidP="00A51969">
      <w:pPr>
        <w:spacing w:after="0" w:line="240" w:lineRule="auto"/>
        <w:rPr>
          <w:rFonts w:ascii="Arial" w:hAnsi="Arial" w:cs="Arial"/>
          <w:b/>
          <w:bCs/>
          <w:sz w:val="20"/>
          <w:szCs w:val="20"/>
          <w:lang w:val="en-US"/>
        </w:rPr>
      </w:pPr>
    </w:p>
    <w:p w14:paraId="431EF309" w14:textId="2BC5FE83" w:rsidR="00396B5F" w:rsidRPr="00AE1338" w:rsidRDefault="003B7C3B" w:rsidP="00A51969">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jc w:val="center"/>
        <w:rPr>
          <w:rFonts w:ascii="Arial" w:hAnsi="Arial" w:cs="Arial"/>
          <w:b/>
          <w:bCs/>
          <w:sz w:val="20"/>
          <w:szCs w:val="20"/>
          <w:lang w:val="en-US"/>
        </w:rPr>
      </w:pPr>
      <w:r w:rsidRPr="003B7C3B">
        <w:rPr>
          <w:rFonts w:ascii="Arial" w:hAnsi="Arial" w:cs="Arial"/>
          <w:b/>
          <w:bCs/>
          <w:sz w:val="20"/>
          <w:szCs w:val="20"/>
          <w:lang w:val="en-US"/>
        </w:rPr>
        <w:t>INSIGHT2026 Accepted Papers with Abstracts</w:t>
      </w:r>
    </w:p>
    <w:p w14:paraId="06D38DBA" w14:textId="77777777" w:rsidR="00BF72B7" w:rsidRPr="003B7C3B" w:rsidRDefault="00BF72B7" w:rsidP="00A51969">
      <w:pPr>
        <w:spacing w:after="0" w:line="240" w:lineRule="auto"/>
        <w:jc w:val="both"/>
        <w:rPr>
          <w:rFonts w:ascii="Arial" w:hAnsi="Arial" w:cs="Arial"/>
          <w:sz w:val="20"/>
          <w:szCs w:val="20"/>
        </w:rPr>
      </w:pPr>
    </w:p>
    <w:p w14:paraId="7A4E48DD"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lastRenderedPageBreak/>
        <w:t>Muhammad Zaky Yusuf Pahlevi and Jessicania Windari. Designing a Blockchain-Based System to Enhance Security in Indonesia's Halal Certification Process</w:t>
      </w:r>
    </w:p>
    <w:p w14:paraId="284E4DFB" w14:textId="7425BA2A"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halal product ecosystem is now a large economic sector in Indonesia. In this regard, halal certification is now considered a basic requirement among Indonesians to differentiate between halal and non- halal food products. Nevertheless, the process of implementing the halal certification through the concerned government agencies could have potential risks that threaten data integrity and could consequently destroy the credibility of the product's halal status among the consumers. This study proposes to create a framework for such a system utilizing blockchain technology to mitigate the above-mentioned challenges. This proposed system is expected to offer in-depth tracking of every aspect of the halal certification process and can be used as a verification service for the authenticity of halal certificates. By harnessing blockchain and chaincode technology as the logic for the business flow of the proposed system itself, every transaction associated with the halal certification process will be immutable (unchangeable) to ensure the increased accountability and security of data in the process. This framework for the overall system is anticipated to accomplish the validation process between government agencies and companies more efficiently. In addition, it is expected to improve public trust in the Halal product ecosystem in Indonesia.</w:t>
      </w:r>
    </w:p>
    <w:p w14:paraId="4C73D737" w14:textId="77777777" w:rsidR="00CD7B0B" w:rsidRDefault="00CD7B0B" w:rsidP="00A51969">
      <w:pPr>
        <w:spacing w:after="0" w:line="240" w:lineRule="auto"/>
        <w:jc w:val="both"/>
        <w:rPr>
          <w:rFonts w:ascii="Arial" w:hAnsi="Arial" w:cs="Arial"/>
          <w:sz w:val="20"/>
          <w:szCs w:val="20"/>
        </w:rPr>
      </w:pPr>
    </w:p>
    <w:p w14:paraId="5F126E39" w14:textId="27A3A814"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Martin Fo, Anderes Gui, I Gusti Made Karmawan, Muhammad Shabir Shaharudin, Drajad Wiryawan and Stefanus Rumangkit. The Impact of Digital Transformation in Accounting</w:t>
      </w:r>
    </w:p>
    <w:p w14:paraId="611B6AF4" w14:textId="1C683554"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were examine and explore impact digital transformation on accounting in many enterprises which emphasizes Decision making quality (DMQ) and Cloud based accounting effectiveness (CBAE) by using partial least squares structural equation modelling (PLS-SEM) which many enterprises on Vietnam and other enterprises highlights that digital transformation strengthen, positively influence DMQ and firm performance with digital leadership amplify those effects. In the different sector, which </w:t>
      </w:r>
      <w:proofErr w:type="gramStart"/>
      <w:r w:rsidR="00C072F1" w:rsidRPr="00C072F1">
        <w:rPr>
          <w:rFonts w:ascii="Arial" w:hAnsi="Arial" w:cs="Arial"/>
          <w:sz w:val="20"/>
          <w:szCs w:val="20"/>
        </w:rPr>
        <w:t>an</w:t>
      </w:r>
      <w:proofErr w:type="gramEnd"/>
      <w:r w:rsidR="00C072F1" w:rsidRPr="00C072F1">
        <w:rPr>
          <w:rFonts w:ascii="Arial" w:hAnsi="Arial" w:cs="Arial"/>
          <w:sz w:val="20"/>
          <w:szCs w:val="20"/>
        </w:rPr>
        <w:t xml:space="preserve"> dual perspective based on TOE frameworks can identify key that influences factors on digital transformation in different sectors and enterprises. Surveys from many people were analyzed through the PLS-SEM revealing that important factors and multiple pathways on transformation in seven ways which many findings underscoring vital role on top management support, policy initiatives and digital leadership in successful digital transformation. This research </w:t>
      </w:r>
      <w:proofErr w:type="gramStart"/>
      <w:r w:rsidR="00C072F1" w:rsidRPr="00C072F1">
        <w:rPr>
          <w:rFonts w:ascii="Arial" w:hAnsi="Arial" w:cs="Arial"/>
          <w:sz w:val="20"/>
          <w:szCs w:val="20"/>
        </w:rPr>
        <w:t>were</w:t>
      </w:r>
      <w:proofErr w:type="gramEnd"/>
      <w:r w:rsidR="00C072F1" w:rsidRPr="00C072F1">
        <w:rPr>
          <w:rFonts w:ascii="Arial" w:hAnsi="Arial" w:cs="Arial"/>
          <w:sz w:val="20"/>
          <w:szCs w:val="20"/>
        </w:rPr>
        <w:t xml:space="preserve"> </w:t>
      </w:r>
      <w:proofErr w:type="gramStart"/>
      <w:r w:rsidR="00C072F1" w:rsidRPr="00C072F1">
        <w:rPr>
          <w:rFonts w:ascii="Arial" w:hAnsi="Arial" w:cs="Arial"/>
          <w:sz w:val="20"/>
          <w:szCs w:val="20"/>
        </w:rPr>
        <w:t>enriches</w:t>
      </w:r>
      <w:proofErr w:type="gramEnd"/>
      <w:r w:rsidR="00C072F1" w:rsidRPr="00C072F1">
        <w:rPr>
          <w:rFonts w:ascii="Arial" w:hAnsi="Arial" w:cs="Arial"/>
          <w:sz w:val="20"/>
          <w:szCs w:val="20"/>
        </w:rPr>
        <w:t xml:space="preserve"> by providing strategic insights for firms navigate evolving digital landscape and understanding on digitalization accounting and construction industry.</w:t>
      </w:r>
    </w:p>
    <w:p w14:paraId="07D7A082" w14:textId="77777777" w:rsidR="00CD7B0B" w:rsidRPr="0009073A" w:rsidRDefault="00CD7B0B" w:rsidP="00A51969">
      <w:pPr>
        <w:spacing w:after="0" w:line="240" w:lineRule="auto"/>
        <w:jc w:val="both"/>
        <w:rPr>
          <w:rFonts w:ascii="Arial" w:hAnsi="Arial" w:cs="Arial"/>
          <w:sz w:val="20"/>
          <w:szCs w:val="20"/>
          <w:lang w:val="en-US"/>
        </w:rPr>
      </w:pPr>
    </w:p>
    <w:p w14:paraId="73E30235" w14:textId="13142B8E"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Ghyfara Annisza Putri, Melissa Andrea and Erwin Halim. </w:t>
      </w:r>
      <w:r w:rsidRPr="00C072F1">
        <w:rPr>
          <w:rFonts w:ascii="Arial" w:hAnsi="Arial" w:cs="Arial"/>
          <w:sz w:val="20"/>
          <w:szCs w:val="20"/>
        </w:rPr>
        <w:t>A Study of User Motivations and Loyalty Patterns in Digital Music Streaming Landscape</w:t>
      </w:r>
    </w:p>
    <w:p w14:paraId="66D896D9" w14:textId="7EEB4442"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Music streaming platform explosive expansion has made the market more competitive. Every year, music streaming platform gain more traction in Indonesia. In 2024, 54.07% of Indonesians used the internet to access streaming services for music listening. However, to boost revenue growth, companies must continue to preserve client loyalty. Using “Uses &amp; Gratification theory”, this study seeks to identify the elements that motivate users to stick with music streaming platforms. The data in this quantitative study was analyzed using par-tial least squares (PLS) and structural equation modeling (SEM). The statistical tools for the SEM PLS computation in this study were SMART PLS 4. The 435 respondents’ data was gathered by Google Forms in October 2025, taken at Greater Jakarta and other cities in Indonesia. With purposive sampling method, the respondents of people who listen to music by streaming. This study uses eight variables with eight hypotheses. The result of the study reveals that one out of eight hypotheses was not accepted. The variable perceived ease of use and per-ceived enjoyment have impact on customer experience, entertainment and ser-vice quality have impact on customer satisfaction, customer experience and cus-tomer satisfaction have significant impact on customer loyalty. However, the var-iable social presence has not significant impact on customer satisfaction.</w:t>
      </w:r>
    </w:p>
    <w:p w14:paraId="7871E608" w14:textId="77777777" w:rsidR="00CD7B0B" w:rsidRDefault="00CD7B0B" w:rsidP="00A51969">
      <w:pPr>
        <w:spacing w:after="0" w:line="240" w:lineRule="auto"/>
        <w:jc w:val="both"/>
        <w:rPr>
          <w:rFonts w:ascii="Arial" w:hAnsi="Arial" w:cs="Arial"/>
          <w:sz w:val="20"/>
          <w:szCs w:val="20"/>
        </w:rPr>
      </w:pPr>
    </w:p>
    <w:p w14:paraId="1E1FFCBE" w14:textId="76355E5C"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Veronica Veronica, Erwin Halim, Stefanus Abel Candra Putrano, Howell Bernardi Salim and Putu Erick Ananda. Building Repurchase Intention Through Customer Satisfaction and Customer Engagement Using Influencers in Digital Marketing</w:t>
      </w:r>
    </w:p>
    <w:p w14:paraId="4C2FCCCE" w14:textId="6A43243D"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preliminary study examines how security and privacy, service quality, and social media influencers shape customer satisfaction, customer engagement, loyalty, and repurchase intention in Indonesia’s growing digital marketplace. The rapid rise of online promotions has intensified concerns about trust, transparency, and misleading claims, especially in sectors where influencers often endorse unverified or unregulated products. The study aims to identify how these factors interact and influence consumer behavioral responses. A purposive sampling method was employed, targeting Indonesian social media users who actively follow influencers and have purchased products based on influencer recommendations. Data were collected from 50 respondents across major urban regions in Indonesia during year 2025, focusing on individuals aged 18–35 who frequently engage with influencer content. Structural Equation Modeling using Partial Least Squares (SEM-PLS) was used to test the relationships among variables. Results show that security privacy and service quality strengthen customer satisfaction, while social media influencers significantly stimulate customer engagement. Customer </w:t>
      </w:r>
      <w:r w:rsidR="00C072F1" w:rsidRPr="00C072F1">
        <w:rPr>
          <w:rFonts w:ascii="Arial" w:hAnsi="Arial" w:cs="Arial"/>
          <w:sz w:val="20"/>
          <w:szCs w:val="20"/>
        </w:rPr>
        <w:lastRenderedPageBreak/>
        <w:t>satisfaction and engagement enhance loyalty and repurchase intention. The findings highlight that trustworthy environments, credible influencers, and positive consumer experiences are essential for sustaining long-term behavioral commitment in Indonesia’s digital commerce ecosystem.</w:t>
      </w:r>
    </w:p>
    <w:p w14:paraId="4A60BF70" w14:textId="77777777" w:rsidR="00CD7B0B" w:rsidRDefault="00CD7B0B" w:rsidP="00A51969">
      <w:pPr>
        <w:spacing w:after="0" w:line="240" w:lineRule="auto"/>
        <w:jc w:val="both"/>
        <w:rPr>
          <w:rFonts w:ascii="Arial" w:hAnsi="Arial" w:cs="Arial"/>
          <w:sz w:val="20"/>
          <w:szCs w:val="20"/>
        </w:rPr>
      </w:pPr>
    </w:p>
    <w:p w14:paraId="60D0D51F" w14:textId="4492AF6D"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Triwahyu Purnama Putra Nangka, Anderes Gui, I Gusti Made Karmawan, Muhammad Shabir Shaharudin, Stefanus Rumangkit and Drajad Wiryawan. Factors Influencing the Use of Accounting Information Systems in Indonesian SMEs</w:t>
      </w:r>
    </w:p>
    <w:p w14:paraId="468D01BE" w14:textId="12DB323C"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Digital transformation encourages small and medium-sized enterprises (SMEs) to adopt Accounting Information Systems (AIS) to improve operational efficiency. This study examines the effects of relative advantage, organizational readiness, and owner/manager commitment on AIS usage, its impact on operational efficiency. Data were collected through questionnaires from 326 SMEs respondents in Indonesia and analyzed using PLS-SEM. The results indicate that relative advantage and managerial commitment significantly influence AIS usage, whereas organizational readiness does not. AIS usage and post COVID-19 enhance AIS effectiveness, leading to greater operational efficiency.</w:t>
      </w:r>
    </w:p>
    <w:p w14:paraId="31E95B30" w14:textId="77777777" w:rsidR="00CD7B0B" w:rsidRDefault="00CD7B0B" w:rsidP="00A51969">
      <w:pPr>
        <w:spacing w:after="0" w:line="240" w:lineRule="auto"/>
        <w:jc w:val="both"/>
        <w:rPr>
          <w:rFonts w:ascii="Arial" w:hAnsi="Arial" w:cs="Arial"/>
          <w:sz w:val="20"/>
          <w:szCs w:val="20"/>
        </w:rPr>
      </w:pPr>
    </w:p>
    <w:p w14:paraId="2A88BD0D" w14:textId="7C9D198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Dedy Syamsuar, Shariff Muttaqin Noviandy and Yadi Ilman Zuhri. Evaluating the Success of e-Office Implementation in Ogan Komering Ilir Regency Using the DeLone and McLean Model</w:t>
      </w:r>
    </w:p>
    <w:p w14:paraId="5AC96C32" w14:textId="1B1A7468"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acceleration of digitalisation in the public sector has encouraged local governments to adopt information systems to improve bureaucratic efficiency and transparency. One such technological implementation is the e-office application, which is used to manage correspondence and archives electronically. This study aims to analyse the success factors of e-office application implementation within the Ogan Komering Ilir (OKI) Regency Government using the DeLone and McLean Information System Success Model. The study employed a quantitative approach and successfully collected 298 responses, which were then analyzed using Partial Least Squares Structural Equation Modeling (PLS-SEM). The analysis results show that eight of the tested hypotheses were statistically significant, while one was not. The main findings indicate that service quality and information quality have a significant influence on system usage, while user satisfaction and application usage levels directly contribute to institutional benefits. This study confirms that the DeLone and McLean model is relevant for measuring information system success in the public sector and that e-office applications can provide positive impacts when supported by reliable systems and responsive service support.</w:t>
      </w:r>
    </w:p>
    <w:p w14:paraId="446F553F" w14:textId="77777777" w:rsidR="00CD7B0B" w:rsidRDefault="00CD7B0B" w:rsidP="00A51969">
      <w:pPr>
        <w:spacing w:after="0" w:line="240" w:lineRule="auto"/>
        <w:jc w:val="both"/>
        <w:rPr>
          <w:rFonts w:ascii="Arial" w:hAnsi="Arial" w:cs="Arial"/>
          <w:sz w:val="20"/>
          <w:szCs w:val="20"/>
        </w:rPr>
      </w:pPr>
    </w:p>
    <w:p w14:paraId="7C489726" w14:textId="605BFFC0"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Patrice Elizabeth, Didik Madyatmadja, Annisa Kinasih and Maharani Putri Yustia. Public Sentiment Analysis Towards the Performance of the Indonesia National Police on X</w:t>
      </w:r>
    </w:p>
    <w:p w14:paraId="07DB769B" w14:textId="023A930D"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research studies how people feel about the Indonesian National Police (POLRI) by analyzing tweets written in Bahasa Indonesia. Tweets were col-lected using keywords like “Polri” and “Polisi” from platform X (formerly Twitter). After collection, the text data went through several preprocessing steps such as case folding, tokenization, stopword removal, and stemming to ensure that the information was clean and suitable for analysis. The cleaned tweets were then examined using two machine learning methods: Naïve Bayes and Decision Tree. Each tweet was labeled as positive, negative, or neutral using TextBlob to provide consistent sentiment categories. The re-sults showed that the Decision Tree model produced better accuracy com-pared to Naïve Bayes, indicating that it was more effective in recognizing sentiment patterns in the dataset. Overall, this study helps provide a clearer picture of public opinion toward the police and highlights how social media data and machine learning techniques can work together to support senti-ment analysis.</w:t>
      </w:r>
    </w:p>
    <w:p w14:paraId="197F4F36" w14:textId="77777777" w:rsidR="00CD7B0B" w:rsidRDefault="00CD7B0B" w:rsidP="00A51969">
      <w:pPr>
        <w:spacing w:after="0" w:line="240" w:lineRule="auto"/>
        <w:jc w:val="both"/>
        <w:rPr>
          <w:rFonts w:ascii="Arial" w:hAnsi="Arial" w:cs="Arial"/>
          <w:sz w:val="20"/>
          <w:szCs w:val="20"/>
        </w:rPr>
      </w:pPr>
    </w:p>
    <w:p w14:paraId="0961DE12" w14:textId="7E262C52"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Divya Asri Febrianty, Gusti Putri Khadila and Anderes Gui. Factors Driving Continuance Intention to Use AI Chatbots by Student in Indonesia</w:t>
      </w:r>
    </w:p>
    <w:p w14:paraId="0A911024" w14:textId="457E46FF"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AI chatbots have emerged as an essential tool to enhance student learning efficiency. This research analyzes What factors influence Indonesian stu-dents' continuance usage intention of chatbots, which is an expansion of UTAUT model by adding Personal Innovativeness (PI). In all, 352 responses were gathered and Partial Least Square Structural Equation Modelling (PLS-SEM) was applied. The findings indicate the significant effects of PE, PI, BI and FC on AI chatbot systems use. On the other hand, EE, SI and FC varia-bles were not discovered to possess statistically significant impact on Behav-ioral Intention. The study results suggest that perceived benefits, innovation and intention are antecedents for the use of AI chatbots. This provides deep insights for both educators and developers to promote acceptance of technol-ogy in higher education.</w:t>
      </w:r>
    </w:p>
    <w:p w14:paraId="7BC5E7DA" w14:textId="77777777" w:rsidR="00CD7B0B" w:rsidRDefault="00CD7B0B" w:rsidP="00A51969">
      <w:pPr>
        <w:spacing w:after="0" w:line="240" w:lineRule="auto"/>
        <w:jc w:val="both"/>
        <w:rPr>
          <w:rFonts w:ascii="Arial" w:hAnsi="Arial" w:cs="Arial"/>
          <w:sz w:val="20"/>
          <w:szCs w:val="20"/>
        </w:rPr>
      </w:pPr>
    </w:p>
    <w:p w14:paraId="7A24E002" w14:textId="440E830A"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Karen Priscillia Tjuatja Darma, Rebecca Jocelyne Cahya and Anderes Gui. Adoption of Artificial Intelligence in Financial Record-Keeping: A Study on Small Enterprise in Indonesia</w:t>
      </w:r>
    </w:p>
    <w:p w14:paraId="73B2B000" w14:textId="16E72896"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research considers the factors that affect the intention of Micro, Small, and </w:t>
      </w:r>
      <w:proofErr w:type="gramStart"/>
      <w:r w:rsidR="00C072F1" w:rsidRPr="00C072F1">
        <w:rPr>
          <w:rFonts w:ascii="Arial" w:hAnsi="Arial" w:cs="Arial"/>
          <w:sz w:val="20"/>
          <w:szCs w:val="20"/>
        </w:rPr>
        <w:t>Medium</w:t>
      </w:r>
      <w:proofErr w:type="gramEnd"/>
      <w:r w:rsidR="00C072F1" w:rsidRPr="00C072F1">
        <w:rPr>
          <w:rFonts w:ascii="Arial" w:hAnsi="Arial" w:cs="Arial"/>
          <w:sz w:val="20"/>
          <w:szCs w:val="20"/>
        </w:rPr>
        <w:t xml:space="preserve"> enterprises (MSMEs) in Indonesia to accept Artificial Intelligence (AI) for financial record-keeping. AI can improve accuracy, save time, and help make better decisions. However, with advancements in technology, many MSMEs continually find it a challenge to operate successfully. Limited digital skillsets, high cost, and security concerns </w:t>
      </w:r>
      <w:r w:rsidR="00C072F1" w:rsidRPr="00C072F1">
        <w:rPr>
          <w:rFonts w:ascii="Arial" w:hAnsi="Arial" w:cs="Arial"/>
          <w:sz w:val="20"/>
          <w:szCs w:val="20"/>
        </w:rPr>
        <w:lastRenderedPageBreak/>
        <w:t xml:space="preserve">are just some of the challenges that MSMEs face. By expanding the Technology Acceptance Model (TAM) to incorporate Perceived Threats and Risks (PTR), and Perceived Benefits and Opportunities (PBO), this study provides an improved perspective on how owners/staff at MSMEs perceive and react to AI acceptance. We collected data from 400 respondents across a wide spectrum of sectors to comprehend factors that help and hinder AI Adoption. The objective is to discover the most effective means to engage small businesses with AI </w:t>
      </w:r>
      <w:proofErr w:type="gramStart"/>
      <w:r w:rsidR="00C072F1" w:rsidRPr="00C072F1">
        <w:rPr>
          <w:rFonts w:ascii="Arial" w:hAnsi="Arial" w:cs="Arial"/>
          <w:sz w:val="20"/>
          <w:szCs w:val="20"/>
        </w:rPr>
        <w:t>usage, and</w:t>
      </w:r>
      <w:proofErr w:type="gramEnd"/>
      <w:r w:rsidR="00C072F1" w:rsidRPr="00C072F1">
        <w:rPr>
          <w:rFonts w:ascii="Arial" w:hAnsi="Arial" w:cs="Arial"/>
          <w:sz w:val="20"/>
          <w:szCs w:val="20"/>
        </w:rPr>
        <w:t xml:space="preserve"> assist them with remaining competitive in the digital age.</w:t>
      </w:r>
    </w:p>
    <w:p w14:paraId="646D1F86" w14:textId="77777777" w:rsidR="00CD7B0B" w:rsidRDefault="00CD7B0B" w:rsidP="00A51969">
      <w:pPr>
        <w:spacing w:after="0" w:line="240" w:lineRule="auto"/>
        <w:jc w:val="both"/>
        <w:rPr>
          <w:rFonts w:ascii="Arial" w:hAnsi="Arial" w:cs="Arial"/>
          <w:sz w:val="20"/>
          <w:szCs w:val="20"/>
        </w:rPr>
      </w:pPr>
    </w:p>
    <w:p w14:paraId="2916D2D5" w14:textId="725C9280"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 xml:space="preserve">Riswan Sianturi, Ikbar Firdaus and Uun Hariyanti. From Social Influence </w:t>
      </w:r>
      <w:proofErr w:type="gramStart"/>
      <w:r w:rsidRPr="00C072F1">
        <w:rPr>
          <w:rFonts w:ascii="Arial" w:hAnsi="Arial" w:cs="Arial"/>
          <w:sz w:val="20"/>
          <w:szCs w:val="20"/>
        </w:rPr>
        <w:t>to</w:t>
      </w:r>
      <w:proofErr w:type="gramEnd"/>
      <w:r w:rsidRPr="00C072F1">
        <w:rPr>
          <w:rFonts w:ascii="Arial" w:hAnsi="Arial" w:cs="Arial"/>
          <w:sz w:val="20"/>
          <w:szCs w:val="20"/>
        </w:rPr>
        <w:t xml:space="preserve"> Purchase Decision: The Mediating Role of Purchase Intention in Streamer Reviews, Virality, and Electronic Word of Mouth</w:t>
      </w:r>
    </w:p>
    <w:p w14:paraId="6BA2FF55" w14:textId="2ECFB8AF"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rapid growth of social commerce has transformed how consumers evalu-ate and purchase experiential products online, particularly perfumes, where direct product inspection is impossible, and uncertainty is high. Despite ex-tensive research on Electronic Word of Mouth (eWOM), influencer market-ing, and viral content, existing studies remain fragmented and often examine these factors in isolation, creating a gap in an integrated understanding of how multiple digital social stimuli jointly shape consumer behavior. This study examines the impact of cross-platform digital content on perfume pur-chase decisions in e-commerce, with purchase intention serving as a key mediator. We found that streamer reviews, content virality, and eWOM sig-nificantly enhance purchase intention, which in turn has a strong influence on purchase decisions. Interestingly, while streamer reviews and eWOM had no significant direct effect, content virality did have a considerable effect. The key finding is that purchase intention crucially mediates the relationship between all these forms of digital content and actual purchase decisions. This highlights the importance of optimizing digital content strategies to convert interest into concrete purchases.</w:t>
      </w:r>
    </w:p>
    <w:p w14:paraId="6856DACF" w14:textId="77777777" w:rsidR="00CD7B0B" w:rsidRPr="0009073A" w:rsidRDefault="00CD7B0B" w:rsidP="00A51969">
      <w:pPr>
        <w:spacing w:after="0" w:line="240" w:lineRule="auto"/>
        <w:jc w:val="both"/>
        <w:rPr>
          <w:rFonts w:ascii="Arial" w:hAnsi="Arial" w:cs="Arial"/>
          <w:sz w:val="20"/>
          <w:szCs w:val="20"/>
          <w:lang w:val="en-US"/>
        </w:rPr>
      </w:pPr>
    </w:p>
    <w:p w14:paraId="672A446E" w14:textId="495F4E9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Ekanaka Hasudungan Pratama, Evaristus Didik Madyatmadja and Hendry Hartono. </w:t>
      </w:r>
      <w:r w:rsidRPr="00C072F1">
        <w:rPr>
          <w:rFonts w:ascii="Arial" w:hAnsi="Arial" w:cs="Arial"/>
          <w:sz w:val="20"/>
          <w:szCs w:val="20"/>
        </w:rPr>
        <w:t>Measuring the Impact of Indonesian Public Fiscal Sentiment on Inflation and Exchange Rates: A Study using IndoBERT and OLS Regression</w:t>
      </w:r>
    </w:p>
    <w:p w14:paraId="5B902705" w14:textId="2929F204"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Fiscal policy announcements can serve as significant macro-economic indicators, yet the forecasting power of public sentiment on them are still an issue of discussion. This paper examines the effect of public opinion surrounding the "Makan Bergizi Gratis" (MBG) policy of the Indonesian government on the value of the Indonesian Rupiah (IDR) against the USD exchange rate and the inflation level. Using data from 29,965 tweets extracted from X from October 2024 to August 2025, next, analyzed using Indonesian BERT (IndoBERT) transformer model for identifying the mood indicators. Then these indicators are further analyzed using the Ordinary Least Square (OLS) regression method, whilst introducing other indicators as control. Findings of this study show that there is no statistically significant relation of the social media mood about the fiscal policy affecting the fluctuations of the IDR/USD exchange rate (P=0.360) or the inflation level (P=0.849). The result of this paper verifies the Efficient Market Hypothesis (EMH) in Indonesia. Hence "social media" is "noise" rather than a "leading" forecast method. This study concludes that the prediction techniques in Indonesia should rely more on the fundamental macro-economic variables rather than the unorganized discussion in the social media platforms.</w:t>
      </w:r>
    </w:p>
    <w:p w14:paraId="3001A9DF" w14:textId="77777777" w:rsidR="00CD7B0B" w:rsidRDefault="00CD7B0B" w:rsidP="00A51969">
      <w:pPr>
        <w:spacing w:after="0" w:line="240" w:lineRule="auto"/>
        <w:jc w:val="both"/>
        <w:rPr>
          <w:rFonts w:ascii="Arial" w:hAnsi="Arial" w:cs="Arial"/>
          <w:sz w:val="20"/>
          <w:szCs w:val="20"/>
        </w:rPr>
      </w:pPr>
    </w:p>
    <w:p w14:paraId="4435DCB5" w14:textId="67151CE0"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Marvin Kurniawan, Calvin Russel, Andrew Mikael and Linda Wedari. Environmental Management through Technological Dependency: The Role of GHG Intensity and ESG Performance in Firm Value Creation</w:t>
      </w:r>
    </w:p>
    <w:p w14:paraId="6160E930" w14:textId="45C8565E"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mainly investigates whether GHG intensity and environmental variables such as ESG score may affect firm value creation. GHG Intensity will be employed as outcome-based proxy to measure firms' technological dependency while enterprise value growth of firms to measure firms value creation. The top 4 of most pollutive sectors (basic materials, energy, industrials, and utilities) from the leading 6 carbon-emitting countries are the criteria for selection of the firms with the time frame 2017 until 2024. For the quantitative approach, the two-step system GMM method is used to address potential endogeneity issues. The results reveal a robust and significant positive relationship for GHG intensity towards firm value creation, suggesting GHG intensity might be perceived as higher technological dependency associated with large scale business activity. Additionally, the results of ESG performance have a significant negative relationship towards firm value creation, which may not impose that as ESG being value-reducing variable, but rather a short-term market pricing dynamics of a firm. The study offers new insights and provides empirical evidence for firms’ stakeholders amidst the significant increase in GHG emissions. Overall, the role of environmental management through technology dependency offers new opportunities for firms to align innovation and environmental goals, and shape sustainable business practices.</w:t>
      </w:r>
    </w:p>
    <w:p w14:paraId="5B3DE0D5" w14:textId="77777777" w:rsidR="00CD7B0B" w:rsidRDefault="00CD7B0B" w:rsidP="00A51969">
      <w:pPr>
        <w:spacing w:after="0" w:line="240" w:lineRule="auto"/>
        <w:jc w:val="both"/>
        <w:rPr>
          <w:rFonts w:ascii="Arial" w:hAnsi="Arial" w:cs="Arial"/>
          <w:sz w:val="20"/>
          <w:szCs w:val="20"/>
        </w:rPr>
      </w:pPr>
    </w:p>
    <w:p w14:paraId="5DDEC3AE" w14:textId="4ADEAA73"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Liancheng Zheng, Rizauddin Ramli, Nor Kamaliana Khamis, Mohamad Hazwan Mohd Ghazali and Amiri Mohammad Soleimani. Fuzzy PID-based Controller of Multi-joints Lower limb Exoskeleton Robot</w:t>
      </w:r>
    </w:p>
    <w:p w14:paraId="4605E3F8" w14:textId="4D84687F"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presents a fuzzy adaptive PID control algorithm to overcome the trajectory tracking problem of multi-joints lower-limb exoskeleton </w:t>
      </w:r>
      <w:proofErr w:type="gramStart"/>
      <w:r w:rsidR="00C072F1" w:rsidRPr="00C072F1">
        <w:rPr>
          <w:rFonts w:ascii="Arial" w:hAnsi="Arial" w:cs="Arial"/>
          <w:sz w:val="20"/>
          <w:szCs w:val="20"/>
        </w:rPr>
        <w:t>robots(</w:t>
      </w:r>
      <w:proofErr w:type="gramEnd"/>
      <w:r w:rsidR="00C072F1" w:rsidRPr="00C072F1">
        <w:rPr>
          <w:rFonts w:ascii="Arial" w:hAnsi="Arial" w:cs="Arial"/>
          <w:sz w:val="20"/>
          <w:szCs w:val="20"/>
        </w:rPr>
        <w:t xml:space="preserve">LLER) in strongly nonlinear, multi-disturbance environments. By </w:t>
      </w:r>
      <w:r w:rsidR="00C072F1" w:rsidRPr="00C072F1">
        <w:rPr>
          <w:rFonts w:ascii="Arial" w:hAnsi="Arial" w:cs="Arial"/>
          <w:sz w:val="20"/>
          <w:szCs w:val="20"/>
        </w:rPr>
        <w:lastRenderedPageBreak/>
        <w:t xml:space="preserve">inte-grating the advantages of fuzzy logic and PID control, the system dynamically adjusts the proportional, integral, and derivative parameters based on real-time error and error rate of change, significantly enhancing tracking compliance and robustness. The performance of the proposed fuzzy adaptive PID controller was simulated in MATLAB Simulink and compared to con-ventional controller. The results </w:t>
      </w:r>
      <w:proofErr w:type="gramStart"/>
      <w:r w:rsidR="00C072F1" w:rsidRPr="00C072F1">
        <w:rPr>
          <w:rFonts w:ascii="Arial" w:hAnsi="Arial" w:cs="Arial"/>
          <w:sz w:val="20"/>
          <w:szCs w:val="20"/>
        </w:rPr>
        <w:t>shows</w:t>
      </w:r>
      <w:proofErr w:type="gramEnd"/>
      <w:r w:rsidR="00C072F1" w:rsidRPr="00C072F1">
        <w:rPr>
          <w:rFonts w:ascii="Arial" w:hAnsi="Arial" w:cs="Arial"/>
          <w:sz w:val="20"/>
          <w:szCs w:val="20"/>
        </w:rPr>
        <w:t xml:space="preserve"> that the fuzzy adaptive PID control-ler keeps overshoot within ±2° at gait transition points better than conven-tional PID with overshoot more than 5° and effectively suppresses oscilla-tions while reducing steady-state error. The simulation findings ascertained that our proposed algorithm demonstrates superior performance under com-plex gait conditions and sudden disturbances. Future research should inte-grate reinforcement learning to optimize parameter adaptability and validate practicality on a physical platform.</w:t>
      </w:r>
    </w:p>
    <w:p w14:paraId="12495E7C" w14:textId="77777777" w:rsidR="00CD7B0B" w:rsidRDefault="00CD7B0B" w:rsidP="00A51969">
      <w:pPr>
        <w:spacing w:after="0" w:line="240" w:lineRule="auto"/>
        <w:jc w:val="both"/>
        <w:rPr>
          <w:rFonts w:ascii="Arial" w:hAnsi="Arial" w:cs="Arial"/>
          <w:sz w:val="20"/>
          <w:szCs w:val="20"/>
        </w:rPr>
      </w:pPr>
    </w:p>
    <w:p w14:paraId="6B07814D" w14:textId="6FE72A29"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Desi Derius and Erwin Halim. Designing of Academic System Enterprise Architecture Using TOGAF Framework: A Case of Indonesia Educational Foundation</w:t>
      </w:r>
    </w:p>
    <w:p w14:paraId="19F84982" w14:textId="69F88A50"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rapid advancement of information technology has transformed the edu-cation landscape, forcing schools to embrace digital solutions to improve op-erational efficiency and learning quality. The central statistics bureau through a catalogue issued in April 2025, found a positive correlation be-tween the accessibility of educational facilities and the quality of education. The higher the accessibility to educational facilities, the better the quality of education achieved. Education Foundation X manages six school units, with mostly manual academic processes, beginning the digitalization process by designing an enterprise architecture (EA) using the TOGAF framework. This framework is highly relevant for building an integrated education system be-</w:t>
      </w:r>
      <w:proofErr w:type="gramStart"/>
      <w:r w:rsidR="00C072F1" w:rsidRPr="00C072F1">
        <w:rPr>
          <w:rFonts w:ascii="Arial" w:hAnsi="Arial" w:cs="Arial"/>
          <w:sz w:val="20"/>
          <w:szCs w:val="20"/>
        </w:rPr>
        <w:t>cause</w:t>
      </w:r>
      <w:proofErr w:type="gramEnd"/>
      <w:r w:rsidR="00C072F1" w:rsidRPr="00C072F1">
        <w:rPr>
          <w:rFonts w:ascii="Arial" w:hAnsi="Arial" w:cs="Arial"/>
          <w:sz w:val="20"/>
          <w:szCs w:val="20"/>
        </w:rPr>
        <w:t xml:space="preserve"> it provides a systematic methodology through the Architecture Devel-opment Method (ADM). Using a qualitative method, this study conducted interviews with key stakeholders - including Foundation Management, Head of Office, Head of IT Division, School Principal, Vice Principals for Curricu-lum, and School Operator - and carried out on-site observations across all units and the foundation’s office to gain an in-depth understanding of busi-ness processes and academic services. This EA's initiative successfully identi-fied critical gaps between the foundation’s current capabilities and its strate-gic performance objectives. This study proposes a new curriculum-centered business process and an integrated IT system blueprint to align academic services with long-term business goals, as a first step in digital transfor-mation in educational institutions.</w:t>
      </w:r>
    </w:p>
    <w:p w14:paraId="41996314" w14:textId="77777777" w:rsidR="00CD7B0B" w:rsidRPr="0009073A" w:rsidRDefault="00CD7B0B" w:rsidP="00A51969">
      <w:pPr>
        <w:spacing w:after="0" w:line="240" w:lineRule="auto"/>
        <w:jc w:val="both"/>
        <w:rPr>
          <w:rFonts w:ascii="Arial" w:hAnsi="Arial" w:cs="Arial"/>
          <w:sz w:val="20"/>
          <w:szCs w:val="20"/>
          <w:lang w:val="en-US"/>
        </w:rPr>
      </w:pPr>
    </w:p>
    <w:p w14:paraId="6528AE4E" w14:textId="23BA6AA1"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Nasywadara Farras Syakira, Muhamad Rafli, Adida Farros Ahmad and Erwin Halim. </w:t>
      </w:r>
      <w:r w:rsidRPr="00C072F1">
        <w:rPr>
          <w:rFonts w:ascii="Arial" w:hAnsi="Arial" w:cs="Arial"/>
          <w:sz w:val="20"/>
          <w:szCs w:val="20"/>
        </w:rPr>
        <w:t>Towards Real-Time Inventory Visibility: An RFID–IoT Conceptual Design for SMEs</w:t>
      </w:r>
    </w:p>
    <w:p w14:paraId="64B3DB5F" w14:textId="4F6C14A3"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Small and Medium Enterprises (SMEs) play an important role in economic growth, yet many still rely on manual inventory management practices that lead to data inaccuracies, delays, and inefficiencies. To address these challenges, this study proposes a conceptual design of a smart inventory system based on Radio Frequency Identification (RFID) and the Internet of Things (IoT). The proposed system integrates RFID-based item identification, microcontroller-based edge processing, cloud data synchronization, and a real-time monitoring dashboard to enable automated and accurate inventory management. The research adopts a conceptual system design and validation approach, supported by workflow modeling, architectural analysis, and comparison with established RFID–IoT implementations from prior studies. The results demonstrate that the proposed sensor–gateway–cloud architecture is theoretically valid, logically structured, and practically feasible for SME inventory operations. Conceptual testing indicates that the system has the potential to improve inventory accuracy, reduce manual workload, and provide real-time stock visibility compared to traditional manual methods. Overall, the proposed design offers a simple, scalable, and SME-friendly solution that supports efficient and data-driven inventory management.</w:t>
      </w:r>
    </w:p>
    <w:p w14:paraId="641BC9AC" w14:textId="77777777" w:rsidR="00CD7B0B" w:rsidRDefault="00CD7B0B" w:rsidP="00A51969">
      <w:pPr>
        <w:spacing w:after="0" w:line="240" w:lineRule="auto"/>
        <w:jc w:val="both"/>
        <w:rPr>
          <w:rFonts w:ascii="Arial" w:hAnsi="Arial" w:cs="Arial"/>
          <w:sz w:val="20"/>
          <w:szCs w:val="20"/>
        </w:rPr>
      </w:pPr>
    </w:p>
    <w:p w14:paraId="62F3C113" w14:textId="347ABFC5"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Charrence Josephine Setiawan, Erica Novita Chandra, Cheery Walesky and Erwin Halim. AI Agent for WhatsApp Order Fulfillment in Hardware and Material SMEs Using Agentic AI</w:t>
      </w:r>
    </w:p>
    <w:p w14:paraId="3C42CF84" w14:textId="10D50001"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Many Indonesian SMEs, especially in the Hardware and Building Material sectors, are facing difficulties in improving operational efficiency in today’s fast-paced digital landscape. The existing business processes are mostly done manually with minimal technological adoption, while involving various parties with limited human resources. This leads to slow response time, miscommunication, and order tracking errors, which result in customer dissatisfaction or wrong items delivered. Addressing these challenges, this study proposes that the use of an AI Agent can automate key business processes, eliminate human error, and enable a 24-hour response time through WhatsApp chat. A workflow prototype was developed using the n8n automation platform integrated with the WhatsApp Business API to handle customer inquiries, requests, and orders. Google Sheets and Google Drive both serve as the database for real-time synchronization of order information and stock availability. This system minimizes repetitive manual intervention while maintaining accuracy and operational transparency. Through qualitative analysis based on system testing, results show that the AI Agent reduces manual workload, shortens response time, and enhances communication accuracy. Ultimately, this research highlights how AI-driven automation can serve as a practical and scalable solution for SMEs, fostering digital </w:t>
      </w:r>
      <w:r w:rsidR="00C072F1" w:rsidRPr="00C072F1">
        <w:rPr>
          <w:rFonts w:ascii="Arial" w:hAnsi="Arial" w:cs="Arial"/>
          <w:sz w:val="20"/>
          <w:szCs w:val="20"/>
        </w:rPr>
        <w:lastRenderedPageBreak/>
        <w:t>transformation, improving productivity, and enabling more efficient resource management in resource-limited business environments.</w:t>
      </w:r>
    </w:p>
    <w:p w14:paraId="771400F3" w14:textId="77777777" w:rsidR="007A02FB" w:rsidRDefault="007A02FB" w:rsidP="00A51969">
      <w:pPr>
        <w:spacing w:after="0" w:line="240" w:lineRule="auto"/>
        <w:jc w:val="both"/>
        <w:rPr>
          <w:rFonts w:ascii="Arial" w:hAnsi="Arial" w:cs="Arial"/>
          <w:sz w:val="20"/>
          <w:szCs w:val="20"/>
        </w:rPr>
      </w:pPr>
    </w:p>
    <w:p w14:paraId="6A1FDE15" w14:textId="7974209C"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Angelina Jessica Pratiwi, Nandito Adrian Reswara, Redondo Delve Chow and Erwin Halim. The Impact of Risk, Self-Efficacy, and Social Factors on the Adoption and Use of Healthy Lifestyle Applications</w:t>
      </w:r>
    </w:p>
    <w:p w14:paraId="5506AEE3" w14:textId="51F70E5D"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investigates how age moderates the relationships among</w:t>
      </w:r>
      <w:r w:rsidR="007A02FB">
        <w:rPr>
          <w:rFonts w:ascii="Arial" w:hAnsi="Arial" w:cs="Arial"/>
          <w:sz w:val="20"/>
          <w:szCs w:val="20"/>
        </w:rPr>
        <w:t xml:space="preserve"> </w:t>
      </w:r>
      <w:r w:rsidR="00C072F1" w:rsidRPr="00C072F1">
        <w:rPr>
          <w:rFonts w:ascii="Arial" w:hAnsi="Arial" w:cs="Arial"/>
          <w:sz w:val="20"/>
          <w:szCs w:val="20"/>
        </w:rPr>
        <w:t>perceived risk, technology self-efficacy, health consciousness, social influence,</w:t>
      </w:r>
      <w:r w:rsidR="007A02FB">
        <w:rPr>
          <w:rFonts w:ascii="Arial" w:hAnsi="Arial" w:cs="Arial"/>
          <w:sz w:val="20"/>
          <w:szCs w:val="20"/>
        </w:rPr>
        <w:t xml:space="preserve"> </w:t>
      </w:r>
      <w:r w:rsidR="00C072F1" w:rsidRPr="00C072F1">
        <w:rPr>
          <w:rFonts w:ascii="Arial" w:hAnsi="Arial" w:cs="Arial"/>
          <w:sz w:val="20"/>
          <w:szCs w:val="20"/>
        </w:rPr>
        <w:t>and the intention to use and the actual use of healthy lifestyle applications in</w:t>
      </w:r>
      <w:r w:rsidR="007A02FB">
        <w:rPr>
          <w:rFonts w:ascii="Arial" w:hAnsi="Arial" w:cs="Arial"/>
          <w:sz w:val="20"/>
          <w:szCs w:val="20"/>
        </w:rPr>
        <w:t xml:space="preserve"> </w:t>
      </w:r>
      <w:r w:rsidR="00C072F1" w:rsidRPr="00C072F1">
        <w:rPr>
          <w:rFonts w:ascii="Arial" w:hAnsi="Arial" w:cs="Arial"/>
          <w:sz w:val="20"/>
          <w:szCs w:val="20"/>
        </w:rPr>
        <w:t>Indonesia. Grounded in an integrated UTAUT2–TAM framework, this research</w:t>
      </w:r>
      <w:r w:rsidR="007A02FB">
        <w:rPr>
          <w:rFonts w:ascii="Arial" w:hAnsi="Arial" w:cs="Arial"/>
          <w:sz w:val="20"/>
          <w:szCs w:val="20"/>
        </w:rPr>
        <w:t xml:space="preserve"> </w:t>
      </w:r>
      <w:r w:rsidR="00C072F1" w:rsidRPr="00C072F1">
        <w:rPr>
          <w:rFonts w:ascii="Arial" w:hAnsi="Arial" w:cs="Arial"/>
          <w:sz w:val="20"/>
          <w:szCs w:val="20"/>
        </w:rPr>
        <w:t>employs a quantitative PLS-SEM approach with 100 valid respondents from the</w:t>
      </w:r>
      <w:r w:rsidR="007A02FB">
        <w:rPr>
          <w:rFonts w:ascii="Arial" w:hAnsi="Arial" w:cs="Arial"/>
          <w:sz w:val="20"/>
          <w:szCs w:val="20"/>
        </w:rPr>
        <w:t xml:space="preserve"> </w:t>
      </w:r>
      <w:r w:rsidR="00C072F1" w:rsidRPr="00C072F1">
        <w:rPr>
          <w:rFonts w:ascii="Arial" w:hAnsi="Arial" w:cs="Arial"/>
          <w:sz w:val="20"/>
          <w:szCs w:val="20"/>
        </w:rPr>
        <w:t>Jabodetabek region. The findings demonstrate that technology self-efficacy,</w:t>
      </w:r>
      <w:r w:rsidR="007A02FB">
        <w:rPr>
          <w:rFonts w:ascii="Arial" w:hAnsi="Arial" w:cs="Arial"/>
          <w:sz w:val="20"/>
          <w:szCs w:val="20"/>
        </w:rPr>
        <w:t xml:space="preserve"> </w:t>
      </w:r>
      <w:r w:rsidR="00C072F1" w:rsidRPr="00C072F1">
        <w:rPr>
          <w:rFonts w:ascii="Arial" w:hAnsi="Arial" w:cs="Arial"/>
          <w:sz w:val="20"/>
          <w:szCs w:val="20"/>
        </w:rPr>
        <w:t>health consciousness, and social influence exert significant, positive effects on</w:t>
      </w:r>
      <w:r w:rsidR="007A02FB">
        <w:rPr>
          <w:rFonts w:ascii="Arial" w:hAnsi="Arial" w:cs="Arial"/>
          <w:sz w:val="20"/>
          <w:szCs w:val="20"/>
        </w:rPr>
        <w:t xml:space="preserve"> </w:t>
      </w:r>
      <w:r w:rsidR="00C072F1" w:rsidRPr="00C072F1">
        <w:rPr>
          <w:rFonts w:ascii="Arial" w:hAnsi="Arial" w:cs="Arial"/>
          <w:sz w:val="20"/>
          <w:szCs w:val="20"/>
        </w:rPr>
        <w:t>users’ intention to adopt healthy lifestyle applications, which, in turn, influences</w:t>
      </w:r>
      <w:r w:rsidR="007A02FB">
        <w:rPr>
          <w:rFonts w:ascii="Arial" w:hAnsi="Arial" w:cs="Arial"/>
          <w:sz w:val="20"/>
          <w:szCs w:val="20"/>
        </w:rPr>
        <w:t xml:space="preserve"> </w:t>
      </w:r>
      <w:r w:rsidR="00C072F1" w:rsidRPr="00C072F1">
        <w:rPr>
          <w:rFonts w:ascii="Arial" w:hAnsi="Arial" w:cs="Arial"/>
          <w:sz w:val="20"/>
          <w:szCs w:val="20"/>
        </w:rPr>
        <w:t>actual usage behavior. Conversely, perceived risk does not significantly affect</w:t>
      </w:r>
      <w:r w:rsidR="007A02FB">
        <w:rPr>
          <w:rFonts w:ascii="Arial" w:hAnsi="Arial" w:cs="Arial"/>
          <w:sz w:val="20"/>
          <w:szCs w:val="20"/>
        </w:rPr>
        <w:t xml:space="preserve"> </w:t>
      </w:r>
      <w:r w:rsidR="00C072F1" w:rsidRPr="00C072F1">
        <w:rPr>
          <w:rFonts w:ascii="Arial" w:hAnsi="Arial" w:cs="Arial"/>
          <w:sz w:val="20"/>
          <w:szCs w:val="20"/>
        </w:rPr>
        <w:t>behavioral intention, suggesting that concerns related to privacy, data security, or</w:t>
      </w:r>
      <w:r w:rsidR="007A02FB">
        <w:rPr>
          <w:rFonts w:ascii="Arial" w:hAnsi="Arial" w:cs="Arial"/>
          <w:sz w:val="20"/>
          <w:szCs w:val="20"/>
        </w:rPr>
        <w:t xml:space="preserve"> </w:t>
      </w:r>
      <w:r w:rsidR="00C072F1" w:rsidRPr="00C072F1">
        <w:rPr>
          <w:rFonts w:ascii="Arial" w:hAnsi="Arial" w:cs="Arial"/>
          <w:sz w:val="20"/>
          <w:szCs w:val="20"/>
        </w:rPr>
        <w:t>system reliability are not strong enough to deter users from adopting such applications. Furthermore, age is shown to moderate the relative importance of these</w:t>
      </w:r>
      <w:r w:rsidR="007A02FB">
        <w:rPr>
          <w:rFonts w:ascii="Arial" w:hAnsi="Arial" w:cs="Arial"/>
          <w:sz w:val="20"/>
          <w:szCs w:val="20"/>
        </w:rPr>
        <w:t xml:space="preserve"> </w:t>
      </w:r>
      <w:r w:rsidR="00C072F1" w:rsidRPr="00C072F1">
        <w:rPr>
          <w:rFonts w:ascii="Arial" w:hAnsi="Arial" w:cs="Arial"/>
          <w:sz w:val="20"/>
          <w:szCs w:val="20"/>
        </w:rPr>
        <w:t>determinants. Younger individuals tend to be more responsive to socially driven</w:t>
      </w:r>
      <w:r w:rsidR="007A02FB">
        <w:rPr>
          <w:rFonts w:ascii="Arial" w:hAnsi="Arial" w:cs="Arial"/>
          <w:sz w:val="20"/>
          <w:szCs w:val="20"/>
        </w:rPr>
        <w:t xml:space="preserve"> </w:t>
      </w:r>
      <w:r w:rsidR="00C072F1" w:rsidRPr="00C072F1">
        <w:rPr>
          <w:rFonts w:ascii="Arial" w:hAnsi="Arial" w:cs="Arial"/>
          <w:sz w:val="20"/>
          <w:szCs w:val="20"/>
        </w:rPr>
        <w:t>and interactive features, whereas older adults prioritize dependability, clarity, and perceived safety when engaging with digital health technologies. These findings</w:t>
      </w:r>
      <w:r w:rsidR="007A02FB">
        <w:rPr>
          <w:rFonts w:ascii="Arial" w:hAnsi="Arial" w:cs="Arial"/>
          <w:sz w:val="20"/>
          <w:szCs w:val="20"/>
        </w:rPr>
        <w:t xml:space="preserve"> </w:t>
      </w:r>
      <w:r w:rsidR="00C072F1" w:rsidRPr="00C072F1">
        <w:rPr>
          <w:rFonts w:ascii="Arial" w:hAnsi="Arial" w:cs="Arial"/>
          <w:sz w:val="20"/>
          <w:szCs w:val="20"/>
        </w:rPr>
        <w:t>highlight the importance of designing age-responsive and inclusive digital health</w:t>
      </w:r>
      <w:r w:rsidR="007A02FB">
        <w:rPr>
          <w:rFonts w:ascii="Arial" w:hAnsi="Arial" w:cs="Arial"/>
          <w:sz w:val="20"/>
          <w:szCs w:val="20"/>
        </w:rPr>
        <w:t xml:space="preserve"> </w:t>
      </w:r>
      <w:r w:rsidR="00C072F1" w:rsidRPr="00C072F1">
        <w:rPr>
          <w:rFonts w:ascii="Arial" w:hAnsi="Arial" w:cs="Arial"/>
          <w:sz w:val="20"/>
          <w:szCs w:val="20"/>
        </w:rPr>
        <w:t xml:space="preserve">ecosystems. The study provides evidence-based implications for </w:t>
      </w:r>
      <w:proofErr w:type="gramStart"/>
      <w:r w:rsidR="00C072F1" w:rsidRPr="00C072F1">
        <w:rPr>
          <w:rFonts w:ascii="Arial" w:hAnsi="Arial" w:cs="Arial"/>
          <w:sz w:val="20"/>
          <w:szCs w:val="20"/>
        </w:rPr>
        <w:t>policy-makers</w:t>
      </w:r>
      <w:proofErr w:type="gramEnd"/>
      <w:r w:rsidR="007A02FB">
        <w:rPr>
          <w:rFonts w:ascii="Arial" w:hAnsi="Arial" w:cs="Arial"/>
          <w:sz w:val="20"/>
          <w:szCs w:val="20"/>
        </w:rPr>
        <w:t xml:space="preserve"> </w:t>
      </w:r>
      <w:r w:rsidR="00C072F1" w:rsidRPr="00C072F1">
        <w:rPr>
          <w:rFonts w:ascii="Arial" w:hAnsi="Arial" w:cs="Arial"/>
          <w:sz w:val="20"/>
          <w:szCs w:val="20"/>
        </w:rPr>
        <w:t>and application developers aiming to strengthen digital health adoption and minimize intergenerational disparities</w:t>
      </w:r>
    </w:p>
    <w:p w14:paraId="5BF8CC92" w14:textId="77777777" w:rsidR="007A02FB" w:rsidRDefault="007A02FB" w:rsidP="00A51969">
      <w:pPr>
        <w:spacing w:after="0" w:line="240" w:lineRule="auto"/>
        <w:jc w:val="both"/>
        <w:rPr>
          <w:rFonts w:ascii="Arial" w:hAnsi="Arial" w:cs="Arial"/>
          <w:sz w:val="20"/>
          <w:szCs w:val="20"/>
        </w:rPr>
      </w:pPr>
    </w:p>
    <w:p w14:paraId="7C702F6D" w14:textId="6192E8C6"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Muhammad Haikal Baihaqi, Andi Reza Perdanakusuma and Riswan Septriayadi Sianturi. Applying Social Cognitive Theory to Understand Prompt Engineering Strategies Among Backend Engineers</w:t>
      </w:r>
    </w:p>
    <w:p w14:paraId="64006FD4" w14:textId="22E88D90"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use of Large Language Models (LLMs) has significantly changed</w:t>
      </w:r>
      <w:r w:rsidR="00827712">
        <w:rPr>
          <w:rFonts w:ascii="Arial" w:hAnsi="Arial" w:cs="Arial"/>
          <w:sz w:val="20"/>
          <w:szCs w:val="20"/>
        </w:rPr>
        <w:t xml:space="preserve"> </w:t>
      </w:r>
      <w:r w:rsidR="00C072F1" w:rsidRPr="00C072F1">
        <w:rPr>
          <w:rFonts w:ascii="Arial" w:hAnsi="Arial" w:cs="Arial"/>
          <w:sz w:val="20"/>
          <w:szCs w:val="20"/>
        </w:rPr>
        <w:t>the landscape of software engineering, but the effectiveness of their use relies</w:t>
      </w:r>
      <w:r w:rsidR="00827712">
        <w:rPr>
          <w:rFonts w:ascii="Arial" w:hAnsi="Arial" w:cs="Arial"/>
          <w:sz w:val="20"/>
          <w:szCs w:val="20"/>
        </w:rPr>
        <w:t xml:space="preserve"> </w:t>
      </w:r>
      <w:r w:rsidR="00C072F1" w:rsidRPr="00C072F1">
        <w:rPr>
          <w:rFonts w:ascii="Arial" w:hAnsi="Arial" w:cs="Arial"/>
          <w:sz w:val="20"/>
          <w:szCs w:val="20"/>
        </w:rPr>
        <w:t>heavily on prompt engineering proficiency. Current research tends to focus on</w:t>
      </w:r>
      <w:r w:rsidR="00827712">
        <w:rPr>
          <w:rFonts w:ascii="Arial" w:hAnsi="Arial" w:cs="Arial"/>
          <w:sz w:val="20"/>
          <w:szCs w:val="20"/>
        </w:rPr>
        <w:t xml:space="preserve"> </w:t>
      </w:r>
      <w:r w:rsidR="00C072F1" w:rsidRPr="00C072F1">
        <w:rPr>
          <w:rFonts w:ascii="Arial" w:hAnsi="Arial" w:cs="Arial"/>
          <w:sz w:val="20"/>
          <w:szCs w:val="20"/>
        </w:rPr>
        <w:t>the technical outcomes of AI prompting and often ignores the underlying</w:t>
      </w:r>
      <w:r w:rsidR="00827712">
        <w:rPr>
          <w:rFonts w:ascii="Arial" w:hAnsi="Arial" w:cs="Arial"/>
          <w:sz w:val="20"/>
          <w:szCs w:val="20"/>
        </w:rPr>
        <w:t xml:space="preserve"> </w:t>
      </w:r>
      <w:r w:rsidR="00C072F1" w:rsidRPr="00C072F1">
        <w:rPr>
          <w:rFonts w:ascii="Arial" w:hAnsi="Arial" w:cs="Arial"/>
          <w:sz w:val="20"/>
          <w:szCs w:val="20"/>
        </w:rPr>
        <w:t>cognitive processes of users. This study aims to explore how prompt engineering</w:t>
      </w:r>
      <w:r w:rsidR="00827712">
        <w:rPr>
          <w:rFonts w:ascii="Arial" w:hAnsi="Arial" w:cs="Arial"/>
          <w:sz w:val="20"/>
          <w:szCs w:val="20"/>
        </w:rPr>
        <w:t xml:space="preserve"> </w:t>
      </w:r>
      <w:r w:rsidR="00C072F1" w:rsidRPr="00C072F1">
        <w:rPr>
          <w:rFonts w:ascii="Arial" w:hAnsi="Arial" w:cs="Arial"/>
          <w:sz w:val="20"/>
          <w:szCs w:val="20"/>
        </w:rPr>
        <w:t>strategies are applied and map the cognitive processes of backend engineers in</w:t>
      </w:r>
      <w:r w:rsidR="00827712">
        <w:rPr>
          <w:rFonts w:ascii="Arial" w:hAnsi="Arial" w:cs="Arial"/>
          <w:sz w:val="20"/>
          <w:szCs w:val="20"/>
        </w:rPr>
        <w:t xml:space="preserve"> </w:t>
      </w:r>
      <w:r w:rsidR="00C072F1" w:rsidRPr="00C072F1">
        <w:rPr>
          <w:rFonts w:ascii="Arial" w:hAnsi="Arial" w:cs="Arial"/>
          <w:sz w:val="20"/>
          <w:szCs w:val="20"/>
        </w:rPr>
        <w:t>interacting with LLMs using the Social Cognitive Theory (SCT) framework. The</w:t>
      </w:r>
      <w:r w:rsidR="00827712">
        <w:rPr>
          <w:rFonts w:ascii="Arial" w:hAnsi="Arial" w:cs="Arial"/>
          <w:sz w:val="20"/>
          <w:szCs w:val="20"/>
        </w:rPr>
        <w:t xml:space="preserve"> </w:t>
      </w:r>
      <w:r w:rsidR="00C072F1" w:rsidRPr="00C072F1">
        <w:rPr>
          <w:rFonts w:ascii="Arial" w:hAnsi="Arial" w:cs="Arial"/>
          <w:sz w:val="20"/>
          <w:szCs w:val="20"/>
        </w:rPr>
        <w:t>data of this research was collected using a qualitative approach with the Think-Aloud Protocol method from participants who solved tiered programming</w:t>
      </w:r>
      <w:r w:rsidR="00827712">
        <w:rPr>
          <w:rFonts w:ascii="Arial" w:hAnsi="Arial" w:cs="Arial"/>
          <w:sz w:val="20"/>
          <w:szCs w:val="20"/>
        </w:rPr>
        <w:t xml:space="preserve"> </w:t>
      </w:r>
      <w:r w:rsidR="00C072F1" w:rsidRPr="00C072F1">
        <w:rPr>
          <w:rFonts w:ascii="Arial" w:hAnsi="Arial" w:cs="Arial"/>
          <w:sz w:val="20"/>
          <w:szCs w:val="20"/>
        </w:rPr>
        <w:t>challenges (Easy, Medium, Hard) mimicking real life scenarios. The data</w:t>
      </w:r>
      <w:r w:rsidR="00827712">
        <w:rPr>
          <w:rFonts w:ascii="Arial" w:hAnsi="Arial" w:cs="Arial"/>
          <w:sz w:val="20"/>
          <w:szCs w:val="20"/>
        </w:rPr>
        <w:t xml:space="preserve"> </w:t>
      </w:r>
      <w:r w:rsidR="00C072F1" w:rsidRPr="00C072F1">
        <w:rPr>
          <w:rFonts w:ascii="Arial" w:hAnsi="Arial" w:cs="Arial"/>
          <w:sz w:val="20"/>
          <w:szCs w:val="20"/>
        </w:rPr>
        <w:t>analysis followed an iterative qualitative process, beginning with the</w:t>
      </w:r>
      <w:r w:rsidR="00827712">
        <w:rPr>
          <w:rFonts w:ascii="Arial" w:hAnsi="Arial" w:cs="Arial"/>
          <w:sz w:val="20"/>
          <w:szCs w:val="20"/>
        </w:rPr>
        <w:t xml:space="preserve"> </w:t>
      </w:r>
      <w:r w:rsidR="00C072F1" w:rsidRPr="00C072F1">
        <w:rPr>
          <w:rFonts w:ascii="Arial" w:hAnsi="Arial" w:cs="Arial"/>
          <w:sz w:val="20"/>
          <w:szCs w:val="20"/>
        </w:rPr>
        <w:t>transcription of audio recordings, followed by multi-stage thematic coding. This</w:t>
      </w:r>
      <w:r w:rsidR="00827712">
        <w:rPr>
          <w:rFonts w:ascii="Arial" w:hAnsi="Arial" w:cs="Arial"/>
          <w:sz w:val="20"/>
          <w:szCs w:val="20"/>
        </w:rPr>
        <w:t xml:space="preserve"> </w:t>
      </w:r>
      <w:r w:rsidR="00C072F1" w:rsidRPr="00C072F1">
        <w:rPr>
          <w:rFonts w:ascii="Arial" w:hAnsi="Arial" w:cs="Arial"/>
          <w:sz w:val="20"/>
          <w:szCs w:val="20"/>
        </w:rPr>
        <w:t>involved an initial open coding phase to identify emerging behaviors, which were</w:t>
      </w:r>
      <w:r w:rsidR="00827712">
        <w:rPr>
          <w:rFonts w:ascii="Arial" w:hAnsi="Arial" w:cs="Arial"/>
          <w:sz w:val="20"/>
          <w:szCs w:val="20"/>
        </w:rPr>
        <w:t xml:space="preserve"> </w:t>
      </w:r>
      <w:r w:rsidR="00C072F1" w:rsidRPr="00C072F1">
        <w:rPr>
          <w:rFonts w:ascii="Arial" w:hAnsi="Arial" w:cs="Arial"/>
          <w:sz w:val="20"/>
          <w:szCs w:val="20"/>
        </w:rPr>
        <w:t>then iteratively refined through axial coding to align with SCT dimensions:</w:t>
      </w:r>
      <w:r w:rsidR="00827712">
        <w:rPr>
          <w:rFonts w:ascii="Arial" w:hAnsi="Arial" w:cs="Arial"/>
          <w:sz w:val="20"/>
          <w:szCs w:val="20"/>
        </w:rPr>
        <w:t xml:space="preserve"> </w:t>
      </w:r>
      <w:r w:rsidR="00C072F1" w:rsidRPr="00C072F1">
        <w:rPr>
          <w:rFonts w:ascii="Arial" w:hAnsi="Arial" w:cs="Arial"/>
          <w:sz w:val="20"/>
          <w:szCs w:val="20"/>
        </w:rPr>
        <w:t>personal, behavioral, and environmental factors. Iterative comparative analysis</w:t>
      </w:r>
      <w:r w:rsidR="00827712">
        <w:rPr>
          <w:rFonts w:ascii="Arial" w:hAnsi="Arial" w:cs="Arial"/>
          <w:sz w:val="20"/>
          <w:szCs w:val="20"/>
        </w:rPr>
        <w:t xml:space="preserve"> </w:t>
      </w:r>
      <w:r w:rsidR="00C072F1" w:rsidRPr="00C072F1">
        <w:rPr>
          <w:rFonts w:ascii="Arial" w:hAnsi="Arial" w:cs="Arial"/>
          <w:sz w:val="20"/>
          <w:szCs w:val="20"/>
        </w:rPr>
        <w:t>was employed to ensure consistency between the transcribed thoughts and the</w:t>
      </w:r>
      <w:r w:rsidR="00827712">
        <w:rPr>
          <w:rFonts w:ascii="Arial" w:hAnsi="Arial" w:cs="Arial"/>
          <w:sz w:val="20"/>
          <w:szCs w:val="20"/>
        </w:rPr>
        <w:t xml:space="preserve"> </w:t>
      </w:r>
      <w:r w:rsidR="00C072F1" w:rsidRPr="00C072F1">
        <w:rPr>
          <w:rFonts w:ascii="Arial" w:hAnsi="Arial" w:cs="Arial"/>
          <w:sz w:val="20"/>
          <w:szCs w:val="20"/>
        </w:rPr>
        <w:t>recorded prompt sequences. The results revealed two contrasting patterns: the</w:t>
      </w:r>
      <w:r w:rsidR="00827712">
        <w:rPr>
          <w:rFonts w:ascii="Arial" w:hAnsi="Arial" w:cs="Arial"/>
          <w:sz w:val="20"/>
          <w:szCs w:val="20"/>
        </w:rPr>
        <w:t xml:space="preserve"> </w:t>
      </w:r>
      <w:r w:rsidR="00C072F1" w:rsidRPr="00C072F1">
        <w:rPr>
          <w:rFonts w:ascii="Arial" w:hAnsi="Arial" w:cs="Arial"/>
          <w:sz w:val="20"/>
          <w:szCs w:val="20"/>
        </w:rPr>
        <w:t>"Investigation" strategy in the advanced group characterized by active self-</w:t>
      </w:r>
      <w:r w:rsidR="00827712">
        <w:rPr>
          <w:rFonts w:ascii="Arial" w:hAnsi="Arial" w:cs="Arial"/>
          <w:sz w:val="20"/>
          <w:szCs w:val="20"/>
        </w:rPr>
        <w:t xml:space="preserve"> </w:t>
      </w:r>
      <w:r w:rsidR="00C072F1" w:rsidRPr="00C072F1">
        <w:rPr>
          <w:rFonts w:ascii="Arial" w:hAnsi="Arial" w:cs="Arial"/>
          <w:sz w:val="20"/>
          <w:szCs w:val="20"/>
        </w:rPr>
        <w:t>regulation and mental simulation; and "Direct Execution" strategies in less skilled</w:t>
      </w:r>
      <w:r w:rsidR="00827712">
        <w:rPr>
          <w:rFonts w:ascii="Arial" w:hAnsi="Arial" w:cs="Arial"/>
          <w:sz w:val="20"/>
          <w:szCs w:val="20"/>
        </w:rPr>
        <w:t xml:space="preserve"> </w:t>
      </w:r>
      <w:r w:rsidR="00C072F1" w:rsidRPr="00C072F1">
        <w:rPr>
          <w:rFonts w:ascii="Arial" w:hAnsi="Arial" w:cs="Arial"/>
          <w:sz w:val="20"/>
          <w:szCs w:val="20"/>
        </w:rPr>
        <w:t>groups that tend to hand over the cognitive burden entirely to AI. The findings</w:t>
      </w:r>
      <w:r w:rsidR="00827712">
        <w:rPr>
          <w:rFonts w:ascii="Arial" w:hAnsi="Arial" w:cs="Arial"/>
          <w:sz w:val="20"/>
          <w:szCs w:val="20"/>
        </w:rPr>
        <w:t xml:space="preserve"> </w:t>
      </w:r>
      <w:r w:rsidR="00C072F1" w:rsidRPr="00C072F1">
        <w:rPr>
          <w:rFonts w:ascii="Arial" w:hAnsi="Arial" w:cs="Arial"/>
          <w:sz w:val="20"/>
          <w:szCs w:val="20"/>
        </w:rPr>
        <w:t>highlight an "automation-augmentation paradox" where faster processing in less</w:t>
      </w:r>
      <w:r w:rsidR="00827712">
        <w:rPr>
          <w:rFonts w:ascii="Arial" w:hAnsi="Arial" w:cs="Arial"/>
          <w:sz w:val="20"/>
          <w:szCs w:val="20"/>
        </w:rPr>
        <w:t xml:space="preserve"> </w:t>
      </w:r>
      <w:r w:rsidR="00C072F1" w:rsidRPr="00C072F1">
        <w:rPr>
          <w:rFonts w:ascii="Arial" w:hAnsi="Arial" w:cs="Arial"/>
          <w:sz w:val="20"/>
          <w:szCs w:val="20"/>
        </w:rPr>
        <w:t>proficient groups correlates with decreased logic validity. The study concludes</w:t>
      </w:r>
      <w:r w:rsidR="00827712">
        <w:rPr>
          <w:rFonts w:ascii="Arial" w:hAnsi="Arial" w:cs="Arial"/>
          <w:sz w:val="20"/>
          <w:szCs w:val="20"/>
        </w:rPr>
        <w:t xml:space="preserve"> </w:t>
      </w:r>
      <w:r w:rsidR="00C072F1" w:rsidRPr="00C072F1">
        <w:rPr>
          <w:rFonts w:ascii="Arial" w:hAnsi="Arial" w:cs="Arial"/>
          <w:sz w:val="20"/>
          <w:szCs w:val="20"/>
        </w:rPr>
        <w:t>that proficiency is determined by the quality of self-regulation in maintaining</w:t>
      </w:r>
      <w:r w:rsidR="00827712">
        <w:rPr>
          <w:rFonts w:ascii="Arial" w:hAnsi="Arial" w:cs="Arial"/>
          <w:sz w:val="20"/>
          <w:szCs w:val="20"/>
        </w:rPr>
        <w:t xml:space="preserve"> </w:t>
      </w:r>
      <w:r w:rsidR="00C072F1" w:rsidRPr="00C072F1">
        <w:rPr>
          <w:rFonts w:ascii="Arial" w:hAnsi="Arial" w:cs="Arial"/>
          <w:sz w:val="20"/>
          <w:szCs w:val="20"/>
        </w:rPr>
        <w:t>cognitive authority over passive automation.</w:t>
      </w:r>
    </w:p>
    <w:p w14:paraId="7A0477F7" w14:textId="77777777" w:rsidR="00827712" w:rsidRPr="0009073A" w:rsidRDefault="00827712" w:rsidP="00A51969">
      <w:pPr>
        <w:spacing w:after="0" w:line="240" w:lineRule="auto"/>
        <w:jc w:val="both"/>
        <w:rPr>
          <w:rFonts w:ascii="Arial" w:hAnsi="Arial" w:cs="Arial"/>
          <w:sz w:val="20"/>
          <w:szCs w:val="20"/>
          <w:lang w:val="en-US"/>
        </w:rPr>
      </w:pPr>
    </w:p>
    <w:p w14:paraId="7FCF13B9" w14:textId="28BD1CBE"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Muhammad Rivaro Farrelino Gozali, Dwija Wisnu Brata and Tibyani Tibyani. </w:t>
      </w:r>
      <w:r w:rsidRPr="00C072F1">
        <w:rPr>
          <w:rFonts w:ascii="Arial" w:hAnsi="Arial" w:cs="Arial"/>
          <w:sz w:val="20"/>
          <w:szCs w:val="20"/>
        </w:rPr>
        <w:t>SENTIMENT ANALYSIS OF TWITTER/X USERS TOWARD THE #KABURAJADULU PHENOMENON USING SUPPORT VECTOR MACHINE AND INDOBERT EMBEDDING</w:t>
      </w:r>
    </w:p>
    <w:p w14:paraId="46348CC7" w14:textId="5B091DD6"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hashtag phenomenon #KaburAjaDulu on the Twitter/X platform reflects the growing anxiety among young generations regarding life pressures, economic uncertainty, and unhealthy work environments in the modern era. This study aims to analyze public perceptions of the phenomenon through a sentiment analysis approach based on Natural Language Processing (NLP), combining IndoBERT as a contextual embedding method and Support Vector Machine (SVM) as a classification algorithm. The dataset consists of 12,353 Indonesian language public tweets containing the hashtag #KaburAjaDulu, collected using the TweetHarvest tool between October 1, 2024, and August 30, 2025. The data were preprocessed through text cleaning, slang normalization, and lemmatization, then labeled using </w:t>
      </w:r>
      <w:proofErr w:type="gramStart"/>
      <w:r w:rsidR="00C072F1" w:rsidRPr="00C072F1">
        <w:rPr>
          <w:rFonts w:ascii="Arial" w:hAnsi="Arial" w:cs="Arial"/>
          <w:sz w:val="20"/>
          <w:szCs w:val="20"/>
        </w:rPr>
        <w:t>a</w:t>
      </w:r>
      <w:proofErr w:type="gramEnd"/>
      <w:r w:rsidR="00C072F1" w:rsidRPr="00C072F1">
        <w:rPr>
          <w:rFonts w:ascii="Arial" w:hAnsi="Arial" w:cs="Arial"/>
          <w:sz w:val="20"/>
          <w:szCs w:val="20"/>
        </w:rPr>
        <w:t xml:space="preserve"> automatic labelling method with the IndoBERTweet model validated by three independent validators to ensure labeling consistency. The results show that the combination of IndoBERT and SVM with a Linear kernel achieved the best performance, with an accuracy of 95.91%, a weighted F1-score of 0.9581, and a macro F1-score of 0.8870 using a 70% training and 30% testing data split. Sentiment analysis revealed that 77.30% of the tweets expressed negative sentiment, reflecting the dominance of fatigue and dissatisfaction toward Indonesia’s socio-economic conditions. These findings demonstrate the effectiveness of the combined IndoBERT and SVM approach in analyzing Indonesian-language social media sentiment, while also providing empirical and contextual insights into patterns of public perception and emotional dynamics in digital spaces.</w:t>
      </w:r>
    </w:p>
    <w:p w14:paraId="6C6F8071" w14:textId="77777777" w:rsidR="00DB2E71" w:rsidRDefault="00DB2E71" w:rsidP="00A51969">
      <w:pPr>
        <w:spacing w:after="0" w:line="240" w:lineRule="auto"/>
        <w:jc w:val="both"/>
        <w:rPr>
          <w:rFonts w:ascii="Arial" w:hAnsi="Arial" w:cs="Arial"/>
          <w:sz w:val="20"/>
          <w:szCs w:val="20"/>
        </w:rPr>
      </w:pPr>
    </w:p>
    <w:p w14:paraId="69098FC6" w14:textId="5D1AE928"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lastRenderedPageBreak/>
        <w:t>Arvenio Souhoka and Erwin Halim. Determinants of Generation Z’s Behavioral Intention Toward Crypto Trading Applications in Indonesia</w:t>
      </w:r>
    </w:p>
    <w:p w14:paraId="2EDD84D5" w14:textId="7D23A715"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rapid advancement of financial technology (FinTech) has reshaped how younger generations approach investing, with cryptocurrency trading appli-cations emerging as a popular gateway for digital-native investors. This study investigates the behavioral intentions and actual usage patterns of Generation Z users toward crypto trading applications in Indonesia. Using a quantitative research design based on the Technology Acceptance Model (TAM) and Unified Theory of Acceptance and Use of Technology (UTAUT), data were collected from 68 active Gen Z crypto traders and analyzed using Partial Least Squares Structural Equation Modeling (PLS-SEM). The find-ings reveal that Attitude Toward Use (ATU) exerts the strongest influence on Behavioral Intention to Use (BIU), which in turn significantly drives Actual Usage (AU). Furthermore, Facilitating Conditions (FC) positively affect AU, while Perceived Ease of Use (PEOU) indirectly contributes through FC rather than direct influence. Perceived Risk (PR) negatively im-pacts Social Influence (SI), whereas SI positively shapes ATU. The User In-terface (UI) significantly enhances PEOU, confirming the importance of de-sign quality in fostering user engagement. Overall, the study highlights that attitude, social dynamics, and enabling support systems are key determi-nants of Gen Z’s continued adoption of crypto trading applications. The re-sults provide practical implications for developers and policymakers seek-ing to enhance responsible participation in digital asset trading through im-proved usability, security, and literacy frameworks.</w:t>
      </w:r>
    </w:p>
    <w:p w14:paraId="5715150E" w14:textId="77777777" w:rsidR="00DB2E71" w:rsidRPr="0009073A" w:rsidRDefault="00DB2E71" w:rsidP="00A51969">
      <w:pPr>
        <w:spacing w:after="0" w:line="240" w:lineRule="auto"/>
        <w:jc w:val="both"/>
        <w:rPr>
          <w:rFonts w:ascii="Arial" w:hAnsi="Arial" w:cs="Arial"/>
          <w:sz w:val="20"/>
          <w:szCs w:val="20"/>
          <w:lang w:val="en-US"/>
        </w:rPr>
      </w:pPr>
    </w:p>
    <w:p w14:paraId="033DBA6C" w14:textId="0C9F51E2"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Irawati Nurmala Sari, Yuita Arum Sari and Weiwei Du. </w:t>
      </w:r>
      <w:r w:rsidRPr="00C072F1">
        <w:rPr>
          <w:rFonts w:ascii="Arial" w:hAnsi="Arial" w:cs="Arial"/>
          <w:sz w:val="20"/>
          <w:szCs w:val="20"/>
        </w:rPr>
        <w:t>Dual-Guided Diffusion for Batik Pattern Synthesis</w:t>
      </w:r>
    </w:p>
    <w:p w14:paraId="722568F2" w14:textId="00477EC6"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Batik pattern synthesis involves the preservation of both motif structure and color composition, which are fundamental to its visual and cultural characteristics. This paper presents a Dual-Guided Diffusion framework for batik pattern synthesis that explicitly incorporates edge-constrained structural extraction and palette-based color control within a diffusion-based generation model. Structural information is obtained by extracting edge representations from a structure reference image, enabling the diffusion process to maintain motif geometry and spatial coherence. In parallel, color guidance is derived from a color reference image by extracting a representative color palette, which is used to regulate color distribution during generation.</w:t>
      </w:r>
    </w:p>
    <w:p w14:paraId="1D02B3F2"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The extracted structural and color cues are integrated into a diffusion U-Net through ControlNet features and palette-aware bias injection, allowing both guidance signals to influence the model at multiple stages of the encoding and decoding process. This dual-guided design enables controlled synthesis by combining structural motifs and color palettes from different reference images while preserving consistency in the generated batik patterns. Experimental results indicate that the proposed method improves structural alignment and color fidelity compared to unguided diffusion models. Quantitative evaluations further demonstrate the effectiveness of the proposed framework for batik pattern synthesis.</w:t>
      </w:r>
    </w:p>
    <w:p w14:paraId="11534446" w14:textId="77777777" w:rsidR="00994428" w:rsidRDefault="00994428" w:rsidP="00A51969">
      <w:pPr>
        <w:spacing w:after="0" w:line="240" w:lineRule="auto"/>
        <w:jc w:val="both"/>
        <w:rPr>
          <w:rFonts w:ascii="Arial" w:hAnsi="Arial" w:cs="Arial"/>
          <w:sz w:val="20"/>
          <w:szCs w:val="20"/>
        </w:rPr>
      </w:pPr>
    </w:p>
    <w:p w14:paraId="0BBDFB9F" w14:textId="072E2BCE"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Shafatyra Reditha Shalsadilla, Lailil Muflikhah and Candra Dewi. MLP-based GAN for Augmenting DNA Sequence Data in Dengue Shock Syndrome Detection</w:t>
      </w:r>
    </w:p>
    <w:p w14:paraId="126AB8CA" w14:textId="4410CBFC"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Limited and imbalanced DNA sequence datasets present significant challenges in detecting Dengue Shock Syndrome (DSS), a severe complication of Dengue Hemorrhagic Fever. This study proposes a modified Multi-Layer Perceptron (MLP)-based Generative Adversarial Network (GAN) to augment DNA sequence data and improve DSS prediction performance. DNA sequences obtained from the National Center for Biotechnology Information (NCBI) are transformed using several representation techniques, including K-mer, One-hot Encoding, and Word2Vec. The augmented dataset is then evaluated using a Bidirectional Long Short-Term Memory (Bi-LSTM) model to classify DSS and non-DSS. Experimental results show that GAN augmentation increases the number of minority class samples and helps reduce dataset imbalance while maintaining stable classification performance with accuracy and F1-score values above 0.8. The successful implementation of this framework offers a significant impact on public health by enabling earlier clinical intervention. Be-yond DSS, this MLP-based GAN approach provides a robust and replicable strategy for addressing data scarcity and class imbalance in other rare genomic sequence classifications, potentially advancing the field of precision medicine and bioinformatics.</w:t>
      </w:r>
    </w:p>
    <w:p w14:paraId="31D4FB06" w14:textId="77777777" w:rsidR="00994428" w:rsidRDefault="00994428" w:rsidP="00A51969">
      <w:pPr>
        <w:spacing w:after="0" w:line="240" w:lineRule="auto"/>
        <w:jc w:val="both"/>
        <w:rPr>
          <w:rFonts w:ascii="Arial" w:hAnsi="Arial" w:cs="Arial"/>
          <w:sz w:val="20"/>
          <w:szCs w:val="20"/>
        </w:rPr>
      </w:pPr>
    </w:p>
    <w:p w14:paraId="6205BC0D" w14:textId="426EDB04"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Laurentius Justin, Kenneth Kuant, Izzat Inayaturrahman Haryono and Hanny Juwitasary. Analysis of the Influence of Live Commerce Strategy on Impulsive Buying Behaviour</w:t>
      </w:r>
    </w:p>
    <w:p w14:paraId="110C19B0" w14:textId="4976CF2F"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In 2025, live commerce continues to evolve as a dominant driver of Indone-sia’s digital economy by integrating e-commerce functionality with real-time livestreaming to create interactive, entertaining, and highly engaging shop-ping experiences. This study investigates how key live commerce strategies influence impulsive buying behaviour through the Stimulus–Organism–Response (SOR) framework, focusing on Social Presence and Sales Promo-tion as stimuli, Flow Experience as the organism, and Impulsive Buying Be-haviour as the response. Using data from 401 respondents in the Jabodetabek area and analyzed with Partial Least Squares Structural Equation Modelling (PLS-SEM), the results show that six of the seven proposed hypotheses were supported. Social Presence and Sales Promotion were found to significantly enhance Flow Experience, which </w:t>
      </w:r>
      <w:r w:rsidR="00C072F1" w:rsidRPr="00C072F1">
        <w:rPr>
          <w:rFonts w:ascii="Arial" w:hAnsi="Arial" w:cs="Arial"/>
          <w:sz w:val="20"/>
          <w:szCs w:val="20"/>
        </w:rPr>
        <w:lastRenderedPageBreak/>
        <w:t>in turn strongly contributed to impulsive buying tendencies and served as a mediating mechanism between the stimuli and behavioural response. Additionally, Money Availability was shown to positively moderate the effect of Flow Experience on impulsive buying, whereas Time Availability did not exhibit a significant moderating influence. These findings underscore the crucial role of interactive communication, host–audience rapport, and promotional intensity in fostering consumer im-mersion and stimulating spontaneous purchase decisions within live com-merce environments.</w:t>
      </w:r>
    </w:p>
    <w:p w14:paraId="2FF3D670" w14:textId="77777777" w:rsidR="00D6611C" w:rsidRDefault="00D6611C" w:rsidP="00A51969">
      <w:pPr>
        <w:spacing w:after="0" w:line="240" w:lineRule="auto"/>
        <w:jc w:val="both"/>
        <w:rPr>
          <w:rFonts w:ascii="Arial" w:hAnsi="Arial" w:cs="Arial"/>
          <w:sz w:val="20"/>
          <w:szCs w:val="20"/>
        </w:rPr>
      </w:pPr>
    </w:p>
    <w:p w14:paraId="18423C0C" w14:textId="40163B75"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I Made Aditya Wijaya, Suryanto Suryanto, Idris Gautama So, Anderes Gui, Ricky Kosasih and Hendra Alianto. Behavioral Intention to Use Mobile App in the Greater Jakarta</w:t>
      </w:r>
    </w:p>
    <w:p w14:paraId="27FAA1CC" w14:textId="3A9CA658"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study examines the factors that affects behavioral intention to use</w:t>
      </w:r>
      <w:r w:rsidR="00D6611C">
        <w:rPr>
          <w:rFonts w:ascii="Arial" w:hAnsi="Arial" w:cs="Arial"/>
          <w:sz w:val="20"/>
          <w:szCs w:val="20"/>
        </w:rPr>
        <w:t xml:space="preserve"> </w:t>
      </w:r>
      <w:r w:rsidR="00C072F1" w:rsidRPr="00C072F1">
        <w:rPr>
          <w:rFonts w:ascii="Arial" w:hAnsi="Arial" w:cs="Arial"/>
          <w:sz w:val="20"/>
          <w:szCs w:val="20"/>
        </w:rPr>
        <w:t>mobile applications in Greater Jakarta by expanding the Technology Acceptance</w:t>
      </w:r>
      <w:r w:rsidR="00D6611C">
        <w:rPr>
          <w:rFonts w:ascii="Arial" w:hAnsi="Arial" w:cs="Arial"/>
          <w:sz w:val="20"/>
          <w:szCs w:val="20"/>
        </w:rPr>
        <w:t xml:space="preserve"> </w:t>
      </w:r>
      <w:r w:rsidR="00C072F1" w:rsidRPr="00C072F1">
        <w:rPr>
          <w:rFonts w:ascii="Arial" w:hAnsi="Arial" w:cs="Arial"/>
          <w:sz w:val="20"/>
          <w:szCs w:val="20"/>
        </w:rPr>
        <w:t>Model (TAM) with value-based elements such as conditional, functional, emotional, social, and epistemic values. A quantitative research method was used,</w:t>
      </w:r>
      <w:r w:rsidR="00D6611C">
        <w:rPr>
          <w:rFonts w:ascii="Arial" w:hAnsi="Arial" w:cs="Arial"/>
          <w:sz w:val="20"/>
          <w:szCs w:val="20"/>
        </w:rPr>
        <w:t xml:space="preserve"> </w:t>
      </w:r>
      <w:r w:rsidR="00C072F1" w:rsidRPr="00C072F1">
        <w:rPr>
          <w:rFonts w:ascii="Arial" w:hAnsi="Arial" w:cs="Arial"/>
          <w:sz w:val="20"/>
          <w:szCs w:val="20"/>
        </w:rPr>
        <w:t>with data collected from 341 verified respondents through online questionnaire</w:t>
      </w:r>
      <w:r w:rsidR="00D6611C">
        <w:rPr>
          <w:rFonts w:ascii="Arial" w:hAnsi="Arial" w:cs="Arial"/>
          <w:sz w:val="20"/>
          <w:szCs w:val="20"/>
        </w:rPr>
        <w:t xml:space="preserve"> </w:t>
      </w:r>
      <w:r w:rsidR="00C072F1" w:rsidRPr="00C072F1">
        <w:rPr>
          <w:rFonts w:ascii="Arial" w:hAnsi="Arial" w:cs="Arial"/>
          <w:sz w:val="20"/>
          <w:szCs w:val="20"/>
        </w:rPr>
        <w:t>in Google Forms. The measurement model and structured relationships within 14</w:t>
      </w:r>
      <w:r w:rsidR="00D6611C">
        <w:rPr>
          <w:rFonts w:ascii="Arial" w:hAnsi="Arial" w:cs="Arial"/>
          <w:sz w:val="20"/>
          <w:szCs w:val="20"/>
        </w:rPr>
        <w:t xml:space="preserve"> </w:t>
      </w:r>
      <w:r w:rsidR="00C072F1" w:rsidRPr="00C072F1">
        <w:rPr>
          <w:rFonts w:ascii="Arial" w:hAnsi="Arial" w:cs="Arial"/>
          <w:sz w:val="20"/>
          <w:szCs w:val="20"/>
        </w:rPr>
        <w:t>proposed hypotheses were scanned using Partial Least Squares Structural Equation Modelling (PLS-SEM) or SmartPLS. Results explained that subjective norm</w:t>
      </w:r>
      <w:r w:rsidR="00D6611C">
        <w:rPr>
          <w:rFonts w:ascii="Arial" w:hAnsi="Arial" w:cs="Arial"/>
          <w:sz w:val="20"/>
          <w:szCs w:val="20"/>
        </w:rPr>
        <w:t xml:space="preserve"> </w:t>
      </w:r>
      <w:r w:rsidR="00C072F1" w:rsidRPr="00C072F1">
        <w:rPr>
          <w:rFonts w:ascii="Arial" w:hAnsi="Arial" w:cs="Arial"/>
          <w:sz w:val="20"/>
          <w:szCs w:val="20"/>
        </w:rPr>
        <w:t>affects perceived usefulness and perceived ease of use, while perceived usefulness and ease of use didn't influence behavioral intention. Functional value, emotional value, and basic needs had a great effect on behavioral intention, where</w:t>
      </w:r>
      <w:r w:rsidR="00D6611C">
        <w:rPr>
          <w:rFonts w:ascii="Arial" w:hAnsi="Arial" w:cs="Arial"/>
          <w:sz w:val="20"/>
          <w:szCs w:val="20"/>
        </w:rPr>
        <w:t xml:space="preserve"> </w:t>
      </w:r>
      <w:r w:rsidR="00C072F1" w:rsidRPr="00C072F1">
        <w:rPr>
          <w:rFonts w:ascii="Arial" w:hAnsi="Arial" w:cs="Arial"/>
          <w:sz w:val="20"/>
          <w:szCs w:val="20"/>
        </w:rPr>
        <w:t>social value and epistemic value were not important indicators. The model gained</w:t>
      </w:r>
      <w:r w:rsidR="00D6611C">
        <w:rPr>
          <w:rFonts w:ascii="Arial" w:hAnsi="Arial" w:cs="Arial"/>
          <w:sz w:val="20"/>
          <w:szCs w:val="20"/>
        </w:rPr>
        <w:t xml:space="preserve"> </w:t>
      </w:r>
      <w:r w:rsidR="00C072F1" w:rsidRPr="00C072F1">
        <w:rPr>
          <w:rFonts w:ascii="Arial" w:hAnsi="Arial" w:cs="Arial"/>
          <w:sz w:val="20"/>
          <w:szCs w:val="20"/>
        </w:rPr>
        <w:t>a strong explanatory power and satisfactory fit indices, assuring its toughness.</w:t>
      </w:r>
      <w:r w:rsidR="00D6611C">
        <w:rPr>
          <w:rFonts w:ascii="Arial" w:hAnsi="Arial" w:cs="Arial"/>
          <w:sz w:val="20"/>
          <w:szCs w:val="20"/>
        </w:rPr>
        <w:t xml:space="preserve"> </w:t>
      </w:r>
      <w:r w:rsidR="00C072F1" w:rsidRPr="00C072F1">
        <w:rPr>
          <w:rFonts w:ascii="Arial" w:hAnsi="Arial" w:cs="Arial"/>
          <w:sz w:val="20"/>
          <w:szCs w:val="20"/>
        </w:rPr>
        <w:t>These findings highlight that users in Greater Jakarta are more attracted by emotional satisfaction, utility, and basic needs than social affection when adopting</w:t>
      </w:r>
      <w:r w:rsidR="00D6611C">
        <w:rPr>
          <w:rFonts w:ascii="Arial" w:hAnsi="Arial" w:cs="Arial"/>
          <w:sz w:val="20"/>
          <w:szCs w:val="20"/>
        </w:rPr>
        <w:t xml:space="preserve"> </w:t>
      </w:r>
      <w:r w:rsidR="00C072F1" w:rsidRPr="00C072F1">
        <w:rPr>
          <w:rFonts w:ascii="Arial" w:hAnsi="Arial" w:cs="Arial"/>
          <w:sz w:val="20"/>
          <w:szCs w:val="20"/>
        </w:rPr>
        <w:t>and using mobile apps. This study aims to advance mobile app adaptation frameworks in the digital era.</w:t>
      </w:r>
    </w:p>
    <w:p w14:paraId="4DCFD4F2" w14:textId="77777777" w:rsidR="00D6611C" w:rsidRDefault="00D6611C" w:rsidP="00A51969">
      <w:pPr>
        <w:spacing w:after="0" w:line="240" w:lineRule="auto"/>
        <w:jc w:val="both"/>
        <w:rPr>
          <w:rFonts w:ascii="Arial" w:hAnsi="Arial" w:cs="Arial"/>
          <w:sz w:val="20"/>
          <w:szCs w:val="20"/>
        </w:rPr>
      </w:pPr>
    </w:p>
    <w:p w14:paraId="551DD983" w14:textId="1070ADFF"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Barlian Henryranu Prasetio and Edita Rosana Widasari. Forensic Timbre Analysis of Anger-Induced Speech Variability Using Wavelet-Cepstral Features</w:t>
      </w:r>
    </w:p>
    <w:p w14:paraId="752E5E96" w14:textId="57976574"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Anger-induced variations in speech are often manifested through changes in spectral envelope, excitation characteristics, and temporal dynamics, which are inherently related to timbre. This study presents a forensic timbre analysis framework for anger intensity discrimination using wavelet-cepstral features. The proposed Wavelet Frequency Cepstral Coefficients (WFCC) integrate mul-ti-resolution time–frequency decomposition with cepstral representation to cap-ture non-stationary spectro-temporal patterns associated with emotional intensi-ty. Experiments were conducted on a speaker-independent subset of the CREMA-D dataset, focusing on three anger intensity levels (low, medium, high). The WFCC representation achieved a balanced accuracy of 71.4% (95% CI: 69.2–73.5%) and a macro F1-score of 0.70, outperforming conventional MFCC features by 8.4 percentage points in balanced accuracy. Statistical anal-ysis confirmed that the improvement over MFCC is significant (p &lt; 0.01), while performance remains comparable to higher-capacity representations such as wav2vec-based embeddings. Additional evaluations under additive noise conditions demonstrate that WFCC maintains stable performance across mod-erate noise levels, indicating robustness to acoustic variability. From a timbre-forensic perspective, the results suggest that multi-resolution cepstral features effectively capture intensity-dependent spectro-temporal signatures in speech. While the studies are limited to acted emotional data, the proposed framework provides an interpretable and efficient approach for analyzing anger-induced speech variability.</w:t>
      </w:r>
    </w:p>
    <w:p w14:paraId="63E44887" w14:textId="77777777" w:rsidR="001B75B7" w:rsidRPr="0009073A" w:rsidRDefault="001B75B7" w:rsidP="00A51969">
      <w:pPr>
        <w:spacing w:after="0" w:line="240" w:lineRule="auto"/>
        <w:jc w:val="both"/>
        <w:rPr>
          <w:rFonts w:ascii="Arial" w:hAnsi="Arial" w:cs="Arial"/>
          <w:sz w:val="20"/>
          <w:szCs w:val="20"/>
          <w:lang w:val="en-US"/>
        </w:rPr>
      </w:pPr>
    </w:p>
    <w:p w14:paraId="0EEFA532" w14:textId="3D4D91EF"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Harrizki Arie Pradana and Mohamad Aizi bin Salamat. </w:t>
      </w:r>
      <w:r w:rsidRPr="00C072F1">
        <w:rPr>
          <w:rFonts w:ascii="Arial" w:hAnsi="Arial" w:cs="Arial"/>
          <w:sz w:val="20"/>
          <w:szCs w:val="20"/>
        </w:rPr>
        <w:t>Analysis of Socio-Technical Aspects in the Implementation of Personal Data Protection in e Government Applications: A Case Study in the Bangka Belitung Islands Province</w:t>
      </w:r>
    </w:p>
    <w:p w14:paraId="74AD89ED" w14:textId="5C41BE1B"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rapid development of digital governance in Indonesia has amplified concerns over personal data protection, particularly in provincial e-Government systems where regulatory implementation is uneven. In the Bangka Belitung Islands Province, the integration of digital public services has advanced significantly, yet the protection of citizens' personal data remains fragmented due to</w:t>
      </w:r>
      <w:r w:rsidR="001B75B7">
        <w:rPr>
          <w:rFonts w:ascii="Arial" w:hAnsi="Arial" w:cs="Arial"/>
          <w:sz w:val="20"/>
          <w:szCs w:val="20"/>
        </w:rPr>
        <w:t xml:space="preserve"> </w:t>
      </w:r>
      <w:r w:rsidR="00C072F1" w:rsidRPr="00C072F1">
        <w:rPr>
          <w:rFonts w:ascii="Arial" w:hAnsi="Arial" w:cs="Arial"/>
          <w:sz w:val="20"/>
          <w:szCs w:val="20"/>
        </w:rPr>
        <w:t>socio-organizational challenges and varying technical capacities. This study addresses the problem of weak alignment between technological infrastructure and</w:t>
      </w:r>
      <w:r w:rsidR="001B75B7">
        <w:rPr>
          <w:rFonts w:ascii="Arial" w:hAnsi="Arial" w:cs="Arial"/>
          <w:sz w:val="20"/>
          <w:szCs w:val="20"/>
        </w:rPr>
        <w:t xml:space="preserve"> </w:t>
      </w:r>
      <w:r w:rsidR="00C072F1" w:rsidRPr="00C072F1">
        <w:rPr>
          <w:rFonts w:ascii="Arial" w:hAnsi="Arial" w:cs="Arial"/>
          <w:sz w:val="20"/>
          <w:szCs w:val="20"/>
        </w:rPr>
        <w:t>social systems—such as institutional policies, user behaviours, and administrative coordination—in ensuring data security and privacy.</w:t>
      </w:r>
      <w:r w:rsidR="001B75B7">
        <w:rPr>
          <w:rFonts w:ascii="Arial" w:hAnsi="Arial" w:cs="Arial"/>
          <w:sz w:val="20"/>
          <w:szCs w:val="20"/>
        </w:rPr>
        <w:t xml:space="preserve"> </w:t>
      </w:r>
      <w:r w:rsidR="00C072F1" w:rsidRPr="00C072F1">
        <w:rPr>
          <w:rFonts w:ascii="Arial" w:hAnsi="Arial" w:cs="Arial"/>
          <w:sz w:val="20"/>
          <w:szCs w:val="20"/>
        </w:rPr>
        <w:t>To investigate these issues, this research employs a qualitative case study</w:t>
      </w:r>
    </w:p>
    <w:p w14:paraId="13BFE3DF" w14:textId="0ECD19FA"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method, collecting data through document reviews, semi-structured interviews</w:t>
      </w:r>
      <w:r w:rsidR="001B75B7">
        <w:rPr>
          <w:rFonts w:ascii="Arial" w:hAnsi="Arial" w:cs="Arial"/>
          <w:sz w:val="20"/>
          <w:szCs w:val="20"/>
        </w:rPr>
        <w:t xml:space="preserve"> </w:t>
      </w:r>
      <w:r w:rsidRPr="00C072F1">
        <w:rPr>
          <w:rFonts w:ascii="Arial" w:hAnsi="Arial" w:cs="Arial"/>
          <w:sz w:val="20"/>
          <w:szCs w:val="20"/>
        </w:rPr>
        <w:t>with government officials, and direct observations of e-Government application</w:t>
      </w:r>
      <w:r w:rsidR="001B75B7">
        <w:rPr>
          <w:rFonts w:ascii="Arial" w:hAnsi="Arial" w:cs="Arial"/>
          <w:sz w:val="20"/>
          <w:szCs w:val="20"/>
        </w:rPr>
        <w:t xml:space="preserve"> </w:t>
      </w:r>
      <w:r w:rsidRPr="00C072F1">
        <w:rPr>
          <w:rFonts w:ascii="Arial" w:hAnsi="Arial" w:cs="Arial"/>
          <w:sz w:val="20"/>
          <w:szCs w:val="20"/>
        </w:rPr>
        <w:t>usage. The analysis applies a socio-technical framework to evaluate how technical safeguards (e.g., encryption, access controls) interact with social components (e.g., staff awareness, procedural consistency, inter-agency collaboration)</w:t>
      </w:r>
      <w:r w:rsidR="001B75B7">
        <w:rPr>
          <w:rFonts w:ascii="Arial" w:hAnsi="Arial" w:cs="Arial"/>
          <w:sz w:val="20"/>
          <w:szCs w:val="20"/>
        </w:rPr>
        <w:t xml:space="preserve"> </w:t>
      </w:r>
      <w:r w:rsidRPr="00C072F1">
        <w:rPr>
          <w:rFonts w:ascii="Arial" w:hAnsi="Arial" w:cs="Arial"/>
          <w:sz w:val="20"/>
          <w:szCs w:val="20"/>
        </w:rPr>
        <w:t>in the implementation of personal data protection.</w:t>
      </w:r>
      <w:r w:rsidR="001B75B7">
        <w:rPr>
          <w:rFonts w:ascii="Arial" w:hAnsi="Arial" w:cs="Arial"/>
          <w:sz w:val="20"/>
          <w:szCs w:val="20"/>
        </w:rPr>
        <w:t xml:space="preserve"> </w:t>
      </w:r>
      <w:r w:rsidRPr="00C072F1">
        <w:rPr>
          <w:rFonts w:ascii="Arial" w:hAnsi="Arial" w:cs="Arial"/>
          <w:sz w:val="20"/>
          <w:szCs w:val="20"/>
        </w:rPr>
        <w:t>The findings indicate that while technical systems have been deployed—such</w:t>
      </w:r>
      <w:r w:rsidR="001B75B7">
        <w:rPr>
          <w:rFonts w:ascii="Arial" w:hAnsi="Arial" w:cs="Arial"/>
          <w:sz w:val="20"/>
          <w:szCs w:val="20"/>
        </w:rPr>
        <w:t xml:space="preserve"> </w:t>
      </w:r>
      <w:r w:rsidRPr="00C072F1">
        <w:rPr>
          <w:rFonts w:ascii="Arial" w:hAnsi="Arial" w:cs="Arial"/>
          <w:sz w:val="20"/>
          <w:szCs w:val="20"/>
        </w:rPr>
        <w:t>as secure servers and authentication protocols—their effectiveness is undermined</w:t>
      </w:r>
      <w:r w:rsidR="001B75B7">
        <w:rPr>
          <w:rFonts w:ascii="Arial" w:hAnsi="Arial" w:cs="Arial"/>
          <w:sz w:val="20"/>
          <w:szCs w:val="20"/>
        </w:rPr>
        <w:t xml:space="preserve"> </w:t>
      </w:r>
      <w:r w:rsidRPr="00C072F1">
        <w:rPr>
          <w:rFonts w:ascii="Arial" w:hAnsi="Arial" w:cs="Arial"/>
          <w:sz w:val="20"/>
          <w:szCs w:val="20"/>
        </w:rPr>
        <w:t>by poor digital literacy among staff, informal practices like credential sharing,</w:t>
      </w:r>
      <w:r w:rsidR="001B75B7">
        <w:rPr>
          <w:rFonts w:ascii="Arial" w:hAnsi="Arial" w:cs="Arial"/>
          <w:sz w:val="20"/>
          <w:szCs w:val="20"/>
        </w:rPr>
        <w:t xml:space="preserve"> </w:t>
      </w:r>
      <w:r w:rsidRPr="00C072F1">
        <w:rPr>
          <w:rFonts w:ascii="Arial" w:hAnsi="Arial" w:cs="Arial"/>
          <w:sz w:val="20"/>
          <w:szCs w:val="20"/>
        </w:rPr>
        <w:t xml:space="preserve">and the absence of region-wide standard operating procedures. These misalignments expose significant vulnerabilities in protecting citizens’ personal information. The study </w:t>
      </w:r>
      <w:r w:rsidRPr="00C072F1">
        <w:rPr>
          <w:rFonts w:ascii="Arial" w:hAnsi="Arial" w:cs="Arial"/>
          <w:sz w:val="20"/>
          <w:szCs w:val="20"/>
        </w:rPr>
        <w:lastRenderedPageBreak/>
        <w:t>concludes that enhancing personal data protection in e-Government requires an integrated strategy combining technical improvements with</w:t>
      </w:r>
      <w:r w:rsidR="001B75B7">
        <w:rPr>
          <w:rFonts w:ascii="Arial" w:hAnsi="Arial" w:cs="Arial"/>
          <w:sz w:val="20"/>
          <w:szCs w:val="20"/>
        </w:rPr>
        <w:t xml:space="preserve"> </w:t>
      </w:r>
      <w:r w:rsidRPr="00C072F1">
        <w:rPr>
          <w:rFonts w:ascii="Arial" w:hAnsi="Arial" w:cs="Arial"/>
          <w:sz w:val="20"/>
          <w:szCs w:val="20"/>
        </w:rPr>
        <w:t>policy enforcement, organizational training, and public awareness campaigns. A</w:t>
      </w:r>
    </w:p>
    <w:p w14:paraId="5CCE2B7E" w14:textId="6D6A4DE8"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socio-technical perspective is therefore essential for building trust and accountability in regional digital governance systems.</w:t>
      </w:r>
    </w:p>
    <w:p w14:paraId="6452044C" w14:textId="77777777" w:rsidR="001B75B7" w:rsidRDefault="001B75B7" w:rsidP="00A51969">
      <w:pPr>
        <w:spacing w:after="0" w:line="240" w:lineRule="auto"/>
        <w:jc w:val="both"/>
        <w:rPr>
          <w:rFonts w:ascii="Arial" w:hAnsi="Arial" w:cs="Arial"/>
          <w:sz w:val="20"/>
          <w:szCs w:val="20"/>
        </w:rPr>
      </w:pPr>
    </w:p>
    <w:p w14:paraId="60EECBD6" w14:textId="77777777" w:rsidR="009333B4" w:rsidRPr="009333B4" w:rsidRDefault="009333B4" w:rsidP="00A51969">
      <w:pPr>
        <w:spacing w:after="0" w:line="240" w:lineRule="auto"/>
        <w:jc w:val="both"/>
        <w:rPr>
          <w:rFonts w:ascii="Arial" w:hAnsi="Arial" w:cs="Arial"/>
          <w:sz w:val="20"/>
          <w:szCs w:val="20"/>
        </w:rPr>
      </w:pPr>
      <w:r w:rsidRPr="009333B4">
        <w:rPr>
          <w:rFonts w:ascii="Arial" w:hAnsi="Arial" w:cs="Arial"/>
          <w:sz w:val="20"/>
          <w:szCs w:val="20"/>
        </w:rPr>
        <w:t>Andi Wiliam, Pinkan Pristine Omassy Gea and Chelsea Aurelia. EXAMINING THE IMPACT OF AI-DRIVEN MARKETING STRATEGIES ON CONSUMER PURCHASE DECISIONS IN SOUTHEAST ASIA: A CASE STUDY OF FAST FASHION</w:t>
      </w:r>
    </w:p>
    <w:p w14:paraId="440EC52E" w14:textId="23B02D0D" w:rsidR="009333B4" w:rsidRPr="009333B4" w:rsidRDefault="009333B4" w:rsidP="00A51969">
      <w:pPr>
        <w:spacing w:after="0" w:line="240" w:lineRule="auto"/>
        <w:jc w:val="both"/>
        <w:rPr>
          <w:rFonts w:ascii="Arial" w:hAnsi="Arial" w:cs="Arial"/>
          <w:sz w:val="20"/>
          <w:szCs w:val="20"/>
        </w:rPr>
      </w:pPr>
      <w:r w:rsidRPr="009333B4">
        <w:rPr>
          <w:rFonts w:ascii="Arial" w:hAnsi="Arial" w:cs="Arial"/>
          <w:sz w:val="20"/>
          <w:szCs w:val="20"/>
        </w:rPr>
        <w:t>Abstract:</w:t>
      </w:r>
      <w:r w:rsidRPr="009333B4">
        <w:rPr>
          <w:rFonts w:ascii="Arial" w:hAnsi="Arial" w:cs="Arial"/>
          <w:b/>
          <w:bCs/>
          <w:sz w:val="20"/>
          <w:szCs w:val="20"/>
        </w:rPr>
        <w:t xml:space="preserve"> </w:t>
      </w:r>
      <w:r w:rsidRPr="009333B4">
        <w:rPr>
          <w:rFonts w:ascii="Arial" w:hAnsi="Arial" w:cs="Arial"/>
          <w:sz w:val="20"/>
          <w:szCs w:val="20"/>
        </w:rPr>
        <w:t xml:space="preserve">his study seeks to analyze the implementation of sustainable </w:t>
      </w:r>
      <w:proofErr w:type="gramStart"/>
      <w:r w:rsidRPr="009333B4">
        <w:rPr>
          <w:rFonts w:ascii="Arial" w:hAnsi="Arial" w:cs="Arial"/>
          <w:sz w:val="20"/>
          <w:szCs w:val="20"/>
        </w:rPr>
        <w:t xml:space="preserve">marketing </w:t>
      </w:r>
      <w:r>
        <w:rPr>
          <w:rFonts w:ascii="Arial" w:hAnsi="Arial" w:cs="Arial"/>
          <w:sz w:val="20"/>
          <w:szCs w:val="20"/>
        </w:rPr>
        <w:t xml:space="preserve"> </w:t>
      </w:r>
      <w:r w:rsidRPr="009333B4">
        <w:rPr>
          <w:rFonts w:ascii="Arial" w:hAnsi="Arial" w:cs="Arial"/>
          <w:sz w:val="20"/>
          <w:szCs w:val="20"/>
        </w:rPr>
        <w:t>strategies</w:t>
      </w:r>
      <w:proofErr w:type="gramEnd"/>
      <w:r w:rsidRPr="009333B4">
        <w:rPr>
          <w:rFonts w:ascii="Arial" w:hAnsi="Arial" w:cs="Arial"/>
          <w:sz w:val="20"/>
          <w:szCs w:val="20"/>
        </w:rPr>
        <w:t xml:space="preserve"> by the H&amp;M brand, serving as a representative of fast fashion </w:t>
      </w:r>
      <w:proofErr w:type="gramStart"/>
      <w:r w:rsidRPr="009333B4">
        <w:rPr>
          <w:rFonts w:ascii="Arial" w:hAnsi="Arial" w:cs="Arial"/>
          <w:sz w:val="20"/>
          <w:szCs w:val="20"/>
        </w:rPr>
        <w:t xml:space="preserve">firms </w:t>
      </w:r>
      <w:r>
        <w:rPr>
          <w:rFonts w:ascii="Arial" w:hAnsi="Arial" w:cs="Arial"/>
          <w:sz w:val="20"/>
          <w:szCs w:val="20"/>
        </w:rPr>
        <w:t xml:space="preserve"> </w:t>
      </w:r>
      <w:r w:rsidRPr="009333B4">
        <w:rPr>
          <w:rFonts w:ascii="Arial" w:hAnsi="Arial" w:cs="Arial"/>
          <w:sz w:val="20"/>
          <w:szCs w:val="20"/>
        </w:rPr>
        <w:t>within</w:t>
      </w:r>
      <w:proofErr w:type="gramEnd"/>
      <w:r w:rsidRPr="009333B4">
        <w:rPr>
          <w:rFonts w:ascii="Arial" w:hAnsi="Arial" w:cs="Arial"/>
          <w:sz w:val="20"/>
          <w:szCs w:val="20"/>
        </w:rPr>
        <w:t xml:space="preserve"> the fashion sector. This study examines the impact of AI as a </w:t>
      </w:r>
      <w:proofErr w:type="gramStart"/>
      <w:r w:rsidRPr="009333B4">
        <w:rPr>
          <w:rFonts w:ascii="Arial" w:hAnsi="Arial" w:cs="Arial"/>
          <w:sz w:val="20"/>
          <w:szCs w:val="20"/>
        </w:rPr>
        <w:t xml:space="preserve">mediating </w:t>
      </w:r>
      <w:r>
        <w:rPr>
          <w:rFonts w:ascii="Arial" w:hAnsi="Arial" w:cs="Arial"/>
          <w:sz w:val="20"/>
          <w:szCs w:val="20"/>
        </w:rPr>
        <w:t xml:space="preserve"> </w:t>
      </w:r>
      <w:r w:rsidRPr="009333B4">
        <w:rPr>
          <w:rFonts w:ascii="Arial" w:hAnsi="Arial" w:cs="Arial"/>
          <w:sz w:val="20"/>
          <w:szCs w:val="20"/>
        </w:rPr>
        <w:t>variable</w:t>
      </w:r>
      <w:proofErr w:type="gramEnd"/>
      <w:r w:rsidRPr="009333B4">
        <w:rPr>
          <w:rFonts w:ascii="Arial" w:hAnsi="Arial" w:cs="Arial"/>
          <w:sz w:val="20"/>
          <w:szCs w:val="20"/>
        </w:rPr>
        <w:t xml:space="preserve"> on environmental consciousness, brand image, and overall value, </w:t>
      </w:r>
      <w:proofErr w:type="gramStart"/>
      <w:r w:rsidRPr="009333B4">
        <w:rPr>
          <w:rFonts w:ascii="Arial" w:hAnsi="Arial" w:cs="Arial"/>
          <w:sz w:val="20"/>
          <w:szCs w:val="20"/>
        </w:rPr>
        <w:t xml:space="preserve">which </w:t>
      </w:r>
      <w:r>
        <w:rPr>
          <w:rFonts w:ascii="Arial" w:hAnsi="Arial" w:cs="Arial"/>
          <w:sz w:val="20"/>
          <w:szCs w:val="20"/>
        </w:rPr>
        <w:t xml:space="preserve"> </w:t>
      </w:r>
      <w:r w:rsidRPr="009333B4">
        <w:rPr>
          <w:rFonts w:ascii="Arial" w:hAnsi="Arial" w:cs="Arial"/>
          <w:sz w:val="20"/>
          <w:szCs w:val="20"/>
        </w:rPr>
        <w:t>serve</w:t>
      </w:r>
      <w:proofErr w:type="gramEnd"/>
      <w:r w:rsidRPr="009333B4">
        <w:rPr>
          <w:rFonts w:ascii="Arial" w:hAnsi="Arial" w:cs="Arial"/>
          <w:sz w:val="20"/>
          <w:szCs w:val="20"/>
        </w:rPr>
        <w:t xml:space="preserve"> as independent factors, in relation to purchasing decisions as the </w:t>
      </w:r>
      <w:proofErr w:type="gramStart"/>
      <w:r w:rsidRPr="009333B4">
        <w:rPr>
          <w:rFonts w:ascii="Arial" w:hAnsi="Arial" w:cs="Arial"/>
          <w:sz w:val="20"/>
          <w:szCs w:val="20"/>
        </w:rPr>
        <w:t xml:space="preserve">dependent </w:t>
      </w:r>
      <w:r>
        <w:rPr>
          <w:rFonts w:ascii="Arial" w:hAnsi="Arial" w:cs="Arial"/>
          <w:sz w:val="20"/>
          <w:szCs w:val="20"/>
        </w:rPr>
        <w:t xml:space="preserve"> </w:t>
      </w:r>
      <w:r w:rsidRPr="009333B4">
        <w:rPr>
          <w:rFonts w:ascii="Arial" w:hAnsi="Arial" w:cs="Arial"/>
          <w:sz w:val="20"/>
          <w:szCs w:val="20"/>
        </w:rPr>
        <w:t>variable</w:t>
      </w:r>
      <w:proofErr w:type="gramEnd"/>
      <w:r w:rsidRPr="009333B4">
        <w:rPr>
          <w:rFonts w:ascii="Arial" w:hAnsi="Arial" w:cs="Arial"/>
          <w:sz w:val="20"/>
          <w:szCs w:val="20"/>
        </w:rPr>
        <w:t>. We employed a quantitative</w:t>
      </w:r>
      <w:r>
        <w:rPr>
          <w:rFonts w:ascii="Arial" w:hAnsi="Arial" w:cs="Arial"/>
          <w:sz w:val="20"/>
          <w:szCs w:val="20"/>
        </w:rPr>
        <w:t xml:space="preserve"> </w:t>
      </w:r>
      <w:r w:rsidRPr="009333B4">
        <w:rPr>
          <w:rFonts w:ascii="Arial" w:hAnsi="Arial" w:cs="Arial"/>
          <w:sz w:val="20"/>
          <w:szCs w:val="20"/>
        </w:rPr>
        <w:t xml:space="preserve">approach to survey 300 participants. </w:t>
      </w:r>
      <w:proofErr w:type="gramStart"/>
      <w:r w:rsidRPr="009333B4">
        <w:rPr>
          <w:rFonts w:ascii="Arial" w:hAnsi="Arial" w:cs="Arial"/>
          <w:sz w:val="20"/>
          <w:szCs w:val="20"/>
        </w:rPr>
        <w:t xml:space="preserve">This </w:t>
      </w:r>
      <w:r>
        <w:rPr>
          <w:rFonts w:ascii="Arial" w:hAnsi="Arial" w:cs="Arial"/>
          <w:sz w:val="20"/>
          <w:szCs w:val="20"/>
        </w:rPr>
        <w:t xml:space="preserve"> </w:t>
      </w:r>
      <w:r w:rsidRPr="009333B4">
        <w:rPr>
          <w:rFonts w:ascii="Arial" w:hAnsi="Arial" w:cs="Arial"/>
          <w:sz w:val="20"/>
          <w:szCs w:val="20"/>
        </w:rPr>
        <w:t>study</w:t>
      </w:r>
      <w:proofErr w:type="gramEnd"/>
      <w:r w:rsidRPr="009333B4">
        <w:rPr>
          <w:rFonts w:ascii="Arial" w:hAnsi="Arial" w:cs="Arial"/>
          <w:sz w:val="20"/>
          <w:szCs w:val="20"/>
        </w:rPr>
        <w:t xml:space="preserve"> demonstrates that: 1) AI-driven marketing strategies substantially </w:t>
      </w:r>
      <w:proofErr w:type="gramStart"/>
      <w:r w:rsidRPr="009333B4">
        <w:rPr>
          <w:rFonts w:ascii="Arial" w:hAnsi="Arial" w:cs="Arial"/>
          <w:sz w:val="20"/>
          <w:szCs w:val="20"/>
        </w:rPr>
        <w:t xml:space="preserve">impact </w:t>
      </w:r>
      <w:r>
        <w:rPr>
          <w:rFonts w:ascii="Arial" w:hAnsi="Arial" w:cs="Arial"/>
          <w:sz w:val="20"/>
          <w:szCs w:val="20"/>
        </w:rPr>
        <w:t xml:space="preserve"> </w:t>
      </w:r>
      <w:r w:rsidRPr="009333B4">
        <w:rPr>
          <w:rFonts w:ascii="Arial" w:hAnsi="Arial" w:cs="Arial"/>
          <w:sz w:val="20"/>
          <w:szCs w:val="20"/>
        </w:rPr>
        <w:t>consumer</w:t>
      </w:r>
      <w:proofErr w:type="gramEnd"/>
      <w:r w:rsidRPr="009333B4">
        <w:rPr>
          <w:rFonts w:ascii="Arial" w:hAnsi="Arial" w:cs="Arial"/>
          <w:sz w:val="20"/>
          <w:szCs w:val="20"/>
        </w:rPr>
        <w:t xml:space="preserve"> experience and purchasing behavior; 2) A favorable and </w:t>
      </w:r>
      <w:proofErr w:type="gramStart"/>
      <w:r w:rsidRPr="009333B4">
        <w:rPr>
          <w:rFonts w:ascii="Arial" w:hAnsi="Arial" w:cs="Arial"/>
          <w:sz w:val="20"/>
          <w:szCs w:val="20"/>
        </w:rPr>
        <w:t xml:space="preserve">personalized </w:t>
      </w:r>
      <w:r>
        <w:rPr>
          <w:rFonts w:ascii="Arial" w:hAnsi="Arial" w:cs="Arial"/>
          <w:sz w:val="20"/>
          <w:szCs w:val="20"/>
        </w:rPr>
        <w:t xml:space="preserve"> </w:t>
      </w:r>
      <w:r w:rsidRPr="009333B4">
        <w:rPr>
          <w:rFonts w:ascii="Arial" w:hAnsi="Arial" w:cs="Arial"/>
          <w:sz w:val="20"/>
          <w:szCs w:val="20"/>
        </w:rPr>
        <w:t>interaction</w:t>
      </w:r>
      <w:proofErr w:type="gramEnd"/>
      <w:r w:rsidRPr="009333B4">
        <w:rPr>
          <w:rFonts w:ascii="Arial" w:hAnsi="Arial" w:cs="Arial"/>
          <w:sz w:val="20"/>
          <w:szCs w:val="20"/>
        </w:rPr>
        <w:t xml:space="preserve"> with AI technologies, including chatbots and </w:t>
      </w:r>
      <w:proofErr w:type="gramStart"/>
      <w:r w:rsidRPr="009333B4">
        <w:rPr>
          <w:rFonts w:ascii="Arial" w:hAnsi="Arial" w:cs="Arial"/>
          <w:sz w:val="20"/>
          <w:szCs w:val="20"/>
        </w:rPr>
        <w:t xml:space="preserve">recommendation </w:t>
      </w:r>
      <w:r>
        <w:rPr>
          <w:rFonts w:ascii="Arial" w:hAnsi="Arial" w:cs="Arial"/>
          <w:sz w:val="20"/>
          <w:szCs w:val="20"/>
        </w:rPr>
        <w:t xml:space="preserve"> </w:t>
      </w:r>
      <w:r w:rsidRPr="009333B4">
        <w:rPr>
          <w:rFonts w:ascii="Arial" w:hAnsi="Arial" w:cs="Arial"/>
          <w:sz w:val="20"/>
          <w:szCs w:val="20"/>
        </w:rPr>
        <w:t>systems</w:t>
      </w:r>
      <w:proofErr w:type="gramEnd"/>
      <w:r w:rsidRPr="009333B4">
        <w:rPr>
          <w:rFonts w:ascii="Arial" w:hAnsi="Arial" w:cs="Arial"/>
          <w:sz w:val="20"/>
          <w:szCs w:val="20"/>
        </w:rPr>
        <w:t xml:space="preserve">, enhances the probability of consumer purchases; and 3) Brand </w:t>
      </w:r>
      <w:proofErr w:type="gramStart"/>
      <w:r w:rsidRPr="009333B4">
        <w:rPr>
          <w:rFonts w:ascii="Arial" w:hAnsi="Arial" w:cs="Arial"/>
          <w:sz w:val="20"/>
          <w:szCs w:val="20"/>
        </w:rPr>
        <w:t xml:space="preserve">trust, </w:t>
      </w:r>
      <w:r>
        <w:rPr>
          <w:rFonts w:ascii="Arial" w:hAnsi="Arial" w:cs="Arial"/>
          <w:sz w:val="20"/>
          <w:szCs w:val="20"/>
        </w:rPr>
        <w:t xml:space="preserve"> </w:t>
      </w:r>
      <w:r w:rsidRPr="009333B4">
        <w:rPr>
          <w:rFonts w:ascii="Arial" w:hAnsi="Arial" w:cs="Arial"/>
          <w:sz w:val="20"/>
          <w:szCs w:val="20"/>
        </w:rPr>
        <w:t>coupled</w:t>
      </w:r>
      <w:proofErr w:type="gramEnd"/>
      <w:r w:rsidRPr="009333B4">
        <w:rPr>
          <w:rFonts w:ascii="Arial" w:hAnsi="Arial" w:cs="Arial"/>
          <w:sz w:val="20"/>
          <w:szCs w:val="20"/>
        </w:rPr>
        <w:t xml:space="preserve"> with perceptions of ethics, innovation, and sustainability, bolsters </w:t>
      </w:r>
      <w:proofErr w:type="gramStart"/>
      <w:r w:rsidRPr="009333B4">
        <w:rPr>
          <w:rFonts w:ascii="Arial" w:hAnsi="Arial" w:cs="Arial"/>
          <w:sz w:val="20"/>
          <w:szCs w:val="20"/>
        </w:rPr>
        <w:t xml:space="preserve">the </w:t>
      </w:r>
      <w:r>
        <w:rPr>
          <w:rFonts w:ascii="Arial" w:hAnsi="Arial" w:cs="Arial"/>
          <w:sz w:val="20"/>
          <w:szCs w:val="20"/>
        </w:rPr>
        <w:t xml:space="preserve"> </w:t>
      </w:r>
      <w:r w:rsidRPr="009333B4">
        <w:rPr>
          <w:rFonts w:ascii="Arial" w:hAnsi="Arial" w:cs="Arial"/>
          <w:sz w:val="20"/>
          <w:szCs w:val="20"/>
        </w:rPr>
        <w:t>efficacy</w:t>
      </w:r>
      <w:proofErr w:type="gramEnd"/>
      <w:r w:rsidRPr="009333B4">
        <w:rPr>
          <w:rFonts w:ascii="Arial" w:hAnsi="Arial" w:cs="Arial"/>
          <w:sz w:val="20"/>
          <w:szCs w:val="20"/>
        </w:rPr>
        <w:t xml:space="preserve"> of AI functionalities in appealing to consumers. To contextualize </w:t>
      </w:r>
      <w:proofErr w:type="gramStart"/>
      <w:r w:rsidRPr="009333B4">
        <w:rPr>
          <w:rFonts w:ascii="Arial" w:hAnsi="Arial" w:cs="Arial"/>
          <w:sz w:val="20"/>
          <w:szCs w:val="20"/>
        </w:rPr>
        <w:t xml:space="preserve">this </w:t>
      </w:r>
      <w:r>
        <w:rPr>
          <w:rFonts w:ascii="Arial" w:hAnsi="Arial" w:cs="Arial"/>
          <w:sz w:val="20"/>
          <w:szCs w:val="20"/>
        </w:rPr>
        <w:t xml:space="preserve"> </w:t>
      </w:r>
      <w:r w:rsidRPr="009333B4">
        <w:rPr>
          <w:rFonts w:ascii="Arial" w:hAnsi="Arial" w:cs="Arial"/>
          <w:sz w:val="20"/>
          <w:szCs w:val="20"/>
        </w:rPr>
        <w:t>within</w:t>
      </w:r>
      <w:proofErr w:type="gramEnd"/>
      <w:r w:rsidRPr="009333B4">
        <w:rPr>
          <w:rFonts w:ascii="Arial" w:hAnsi="Arial" w:cs="Arial"/>
          <w:sz w:val="20"/>
          <w:szCs w:val="20"/>
        </w:rPr>
        <w:t xml:space="preserve"> Southeast Asia,</w:t>
      </w:r>
      <w:r>
        <w:rPr>
          <w:rFonts w:ascii="Arial" w:hAnsi="Arial" w:cs="Arial"/>
          <w:sz w:val="20"/>
          <w:szCs w:val="20"/>
        </w:rPr>
        <w:t xml:space="preserve"> </w:t>
      </w:r>
      <w:r w:rsidRPr="009333B4">
        <w:rPr>
          <w:rFonts w:ascii="Arial" w:hAnsi="Arial" w:cs="Arial"/>
          <w:sz w:val="20"/>
          <w:szCs w:val="20"/>
        </w:rPr>
        <w:t xml:space="preserve">we consider the implications of H&amp;M’s green </w:t>
      </w:r>
      <w:proofErr w:type="gramStart"/>
      <w:r w:rsidRPr="009333B4">
        <w:rPr>
          <w:rFonts w:ascii="Arial" w:hAnsi="Arial" w:cs="Arial"/>
          <w:sz w:val="20"/>
          <w:szCs w:val="20"/>
        </w:rPr>
        <w:t xml:space="preserve">initiatives </w:t>
      </w:r>
      <w:r>
        <w:rPr>
          <w:rFonts w:ascii="Arial" w:hAnsi="Arial" w:cs="Arial"/>
          <w:sz w:val="20"/>
          <w:szCs w:val="20"/>
        </w:rPr>
        <w:t xml:space="preserve"> </w:t>
      </w:r>
      <w:r w:rsidRPr="009333B4">
        <w:rPr>
          <w:rFonts w:ascii="Arial" w:hAnsi="Arial" w:cs="Arial"/>
          <w:sz w:val="20"/>
          <w:szCs w:val="20"/>
        </w:rPr>
        <w:t>and</w:t>
      </w:r>
      <w:proofErr w:type="gramEnd"/>
      <w:r w:rsidRPr="009333B4">
        <w:rPr>
          <w:rFonts w:ascii="Arial" w:hAnsi="Arial" w:cs="Arial"/>
          <w:sz w:val="20"/>
          <w:szCs w:val="20"/>
        </w:rPr>
        <w:t xml:space="preserve"> AI implementation in Indonesia and Malaysia — two emerging </w:t>
      </w:r>
      <w:proofErr w:type="gramStart"/>
      <w:r w:rsidRPr="009333B4">
        <w:rPr>
          <w:rFonts w:ascii="Arial" w:hAnsi="Arial" w:cs="Arial"/>
          <w:sz w:val="20"/>
          <w:szCs w:val="20"/>
        </w:rPr>
        <w:t xml:space="preserve">markets </w:t>
      </w:r>
      <w:r>
        <w:rPr>
          <w:rFonts w:ascii="Arial" w:hAnsi="Arial" w:cs="Arial"/>
          <w:sz w:val="20"/>
          <w:szCs w:val="20"/>
        </w:rPr>
        <w:t xml:space="preserve"> </w:t>
      </w:r>
      <w:r w:rsidRPr="009333B4">
        <w:rPr>
          <w:rFonts w:ascii="Arial" w:hAnsi="Arial" w:cs="Arial"/>
          <w:sz w:val="20"/>
          <w:szCs w:val="20"/>
        </w:rPr>
        <w:t>where</w:t>
      </w:r>
      <w:proofErr w:type="gramEnd"/>
      <w:r w:rsidRPr="009333B4">
        <w:rPr>
          <w:rFonts w:ascii="Arial" w:hAnsi="Arial" w:cs="Arial"/>
          <w:sz w:val="20"/>
          <w:szCs w:val="20"/>
        </w:rPr>
        <w:t xml:space="preserve"> youth consumerism intersects with rising environmental awareness. </w:t>
      </w:r>
      <w:proofErr w:type="gramStart"/>
      <w:r w:rsidRPr="009333B4">
        <w:rPr>
          <w:rFonts w:ascii="Arial" w:hAnsi="Arial" w:cs="Arial"/>
          <w:sz w:val="20"/>
          <w:szCs w:val="20"/>
        </w:rPr>
        <w:t xml:space="preserve">This </w:t>
      </w:r>
      <w:r>
        <w:rPr>
          <w:rFonts w:ascii="Arial" w:hAnsi="Arial" w:cs="Arial"/>
          <w:sz w:val="20"/>
          <w:szCs w:val="20"/>
        </w:rPr>
        <w:t xml:space="preserve"> </w:t>
      </w:r>
      <w:r w:rsidRPr="009333B4">
        <w:rPr>
          <w:rFonts w:ascii="Arial" w:hAnsi="Arial" w:cs="Arial"/>
          <w:sz w:val="20"/>
          <w:szCs w:val="20"/>
        </w:rPr>
        <w:t>report</w:t>
      </w:r>
      <w:proofErr w:type="gramEnd"/>
      <w:r w:rsidRPr="009333B4">
        <w:rPr>
          <w:rFonts w:ascii="Arial" w:hAnsi="Arial" w:cs="Arial"/>
          <w:sz w:val="20"/>
          <w:szCs w:val="20"/>
        </w:rPr>
        <w:t xml:space="preserve"> recommends that H&amp;M invest in AI technology development to </w:t>
      </w:r>
      <w:proofErr w:type="gramStart"/>
      <w:r w:rsidRPr="009333B4">
        <w:rPr>
          <w:rFonts w:ascii="Arial" w:hAnsi="Arial" w:cs="Arial"/>
          <w:sz w:val="20"/>
          <w:szCs w:val="20"/>
        </w:rPr>
        <w:t xml:space="preserve">improve </w:t>
      </w:r>
      <w:r>
        <w:rPr>
          <w:rFonts w:ascii="Arial" w:hAnsi="Arial" w:cs="Arial"/>
          <w:sz w:val="20"/>
          <w:szCs w:val="20"/>
        </w:rPr>
        <w:t xml:space="preserve"> </w:t>
      </w:r>
      <w:r w:rsidRPr="009333B4">
        <w:rPr>
          <w:rFonts w:ascii="Arial" w:hAnsi="Arial" w:cs="Arial"/>
          <w:sz w:val="20"/>
          <w:szCs w:val="20"/>
        </w:rPr>
        <w:t>tailored</w:t>
      </w:r>
      <w:proofErr w:type="gramEnd"/>
      <w:r w:rsidRPr="009333B4">
        <w:rPr>
          <w:rFonts w:ascii="Arial" w:hAnsi="Arial" w:cs="Arial"/>
          <w:sz w:val="20"/>
          <w:szCs w:val="20"/>
        </w:rPr>
        <w:t xml:space="preserve"> and efficient customer experiences, thereby augmenting </w:t>
      </w:r>
      <w:proofErr w:type="gramStart"/>
      <w:r w:rsidRPr="009333B4">
        <w:rPr>
          <w:rFonts w:ascii="Arial" w:hAnsi="Arial" w:cs="Arial"/>
          <w:sz w:val="20"/>
          <w:szCs w:val="20"/>
        </w:rPr>
        <w:t xml:space="preserve">consumer </w:t>
      </w:r>
      <w:r>
        <w:rPr>
          <w:rFonts w:ascii="Arial" w:hAnsi="Arial" w:cs="Arial"/>
          <w:sz w:val="20"/>
          <w:szCs w:val="20"/>
        </w:rPr>
        <w:t xml:space="preserve"> </w:t>
      </w:r>
      <w:r w:rsidRPr="009333B4">
        <w:rPr>
          <w:rFonts w:ascii="Arial" w:hAnsi="Arial" w:cs="Arial"/>
          <w:sz w:val="20"/>
          <w:szCs w:val="20"/>
        </w:rPr>
        <w:t>purchasing</w:t>
      </w:r>
      <w:proofErr w:type="gramEnd"/>
      <w:r w:rsidRPr="009333B4">
        <w:rPr>
          <w:rFonts w:ascii="Arial" w:hAnsi="Arial" w:cs="Arial"/>
          <w:sz w:val="20"/>
          <w:szCs w:val="20"/>
        </w:rPr>
        <w:t xml:space="preserve"> decisions at H&amp;M</w:t>
      </w:r>
      <w:r>
        <w:rPr>
          <w:rFonts w:ascii="Arial" w:hAnsi="Arial" w:cs="Arial"/>
          <w:sz w:val="20"/>
          <w:szCs w:val="20"/>
        </w:rPr>
        <w:t>.</w:t>
      </w:r>
    </w:p>
    <w:p w14:paraId="13A17E9C" w14:textId="77777777" w:rsidR="009333B4" w:rsidRDefault="009333B4" w:rsidP="00A51969">
      <w:pPr>
        <w:spacing w:after="0" w:line="240" w:lineRule="auto"/>
        <w:jc w:val="both"/>
        <w:rPr>
          <w:rFonts w:ascii="Arial" w:hAnsi="Arial" w:cs="Arial"/>
          <w:sz w:val="20"/>
          <w:szCs w:val="20"/>
        </w:rPr>
      </w:pPr>
    </w:p>
    <w:p w14:paraId="6C9A03DD" w14:textId="77777777" w:rsidR="004A4F53" w:rsidRPr="004A4F53" w:rsidRDefault="004A4F53" w:rsidP="00A51969">
      <w:pPr>
        <w:spacing w:after="0" w:line="240" w:lineRule="auto"/>
        <w:jc w:val="both"/>
        <w:rPr>
          <w:rFonts w:ascii="Arial" w:hAnsi="Arial" w:cs="Arial"/>
          <w:sz w:val="20"/>
          <w:szCs w:val="20"/>
        </w:rPr>
      </w:pPr>
      <w:r w:rsidRPr="004A4F53">
        <w:rPr>
          <w:rFonts w:ascii="Arial" w:hAnsi="Arial" w:cs="Arial"/>
          <w:sz w:val="20"/>
          <w:szCs w:val="20"/>
        </w:rPr>
        <w:t>Andi Wiliam, Ika Suhartanti Darmo, Viany Utami Tjhin, Siti Salwa Sheikh Mokhtar, Apriani Kurnia Suci, Bayu Dwi Apri Nugroho and Anggraeni Woro Hapsari. OPTIMIZING SCHEDULING SYSTEMS FOR AGRIBUSINESS SME’S USING AI-BASED DECISION SUPPORT SYSTEMS</w:t>
      </w:r>
    </w:p>
    <w:p w14:paraId="3621D24B" w14:textId="0677BD6D" w:rsidR="004A4F53" w:rsidRDefault="004A4F53" w:rsidP="00A51969">
      <w:pPr>
        <w:spacing w:after="0" w:line="240" w:lineRule="auto"/>
        <w:jc w:val="both"/>
        <w:rPr>
          <w:rFonts w:ascii="Arial" w:hAnsi="Arial" w:cs="Arial"/>
          <w:sz w:val="20"/>
          <w:szCs w:val="20"/>
        </w:rPr>
      </w:pPr>
      <w:r w:rsidRPr="004A4F53">
        <w:rPr>
          <w:rFonts w:ascii="Arial" w:hAnsi="Arial" w:cs="Arial"/>
          <w:sz w:val="20"/>
          <w:szCs w:val="20"/>
        </w:rPr>
        <w:t>Abstract: Small and Medium Enterprises (SMEs) in the Southeast Asian</w:t>
      </w:r>
      <w:r w:rsidR="00B50BA0">
        <w:rPr>
          <w:rFonts w:ascii="Arial" w:hAnsi="Arial" w:cs="Arial"/>
          <w:sz w:val="20"/>
          <w:szCs w:val="20"/>
        </w:rPr>
        <w:t xml:space="preserve"> </w:t>
      </w:r>
      <w:r w:rsidRPr="004A4F53">
        <w:rPr>
          <w:rFonts w:ascii="Arial" w:hAnsi="Arial" w:cs="Arial"/>
          <w:sz w:val="20"/>
          <w:szCs w:val="20"/>
        </w:rPr>
        <w:t>agribusiness sector, especially those operating transnationally between Indonesia</w:t>
      </w:r>
      <w:r w:rsidR="00B50BA0">
        <w:rPr>
          <w:rFonts w:ascii="Arial" w:hAnsi="Arial" w:cs="Arial"/>
          <w:sz w:val="20"/>
          <w:szCs w:val="20"/>
        </w:rPr>
        <w:t xml:space="preserve"> </w:t>
      </w:r>
      <w:r w:rsidRPr="004A4F53">
        <w:rPr>
          <w:rFonts w:ascii="Arial" w:hAnsi="Arial" w:cs="Arial"/>
          <w:sz w:val="20"/>
          <w:szCs w:val="20"/>
        </w:rPr>
        <w:t>and Malaysia, face complex scheduling challenges due to fragmented supply</w:t>
      </w:r>
      <w:r w:rsidR="00B50BA0">
        <w:rPr>
          <w:rFonts w:ascii="Arial" w:hAnsi="Arial" w:cs="Arial"/>
          <w:sz w:val="20"/>
          <w:szCs w:val="20"/>
        </w:rPr>
        <w:t xml:space="preserve"> </w:t>
      </w:r>
      <w:r w:rsidRPr="004A4F53">
        <w:rPr>
          <w:rFonts w:ascii="Arial" w:hAnsi="Arial" w:cs="Arial"/>
          <w:sz w:val="20"/>
          <w:szCs w:val="20"/>
        </w:rPr>
        <w:t>chains, cross-border logistics, and perishable inventory constraints. Traditional</w:t>
      </w:r>
      <w:r w:rsidR="00B50BA0">
        <w:rPr>
          <w:rFonts w:ascii="Arial" w:hAnsi="Arial" w:cs="Arial"/>
          <w:sz w:val="20"/>
          <w:szCs w:val="20"/>
        </w:rPr>
        <w:t xml:space="preserve"> </w:t>
      </w:r>
      <w:r w:rsidRPr="004A4F53">
        <w:rPr>
          <w:rFonts w:ascii="Arial" w:hAnsi="Arial" w:cs="Arial"/>
          <w:sz w:val="20"/>
          <w:szCs w:val="20"/>
        </w:rPr>
        <w:t>scheduling tools often fail to adapt dynamically, resulting in inefficiencies and</w:t>
      </w:r>
      <w:r w:rsidR="00B50BA0">
        <w:rPr>
          <w:rFonts w:ascii="Arial" w:hAnsi="Arial" w:cs="Arial"/>
          <w:sz w:val="20"/>
          <w:szCs w:val="20"/>
        </w:rPr>
        <w:t xml:space="preserve"> </w:t>
      </w:r>
      <w:r w:rsidRPr="004A4F53">
        <w:rPr>
          <w:rFonts w:ascii="Arial" w:hAnsi="Arial" w:cs="Arial"/>
          <w:sz w:val="20"/>
          <w:szCs w:val="20"/>
        </w:rPr>
        <w:t>increased waste. This study explores the deployment of Artificial Intelligence</w:t>
      </w:r>
      <w:r w:rsidR="00B50BA0">
        <w:rPr>
          <w:rFonts w:ascii="Arial" w:hAnsi="Arial" w:cs="Arial"/>
          <w:sz w:val="20"/>
          <w:szCs w:val="20"/>
        </w:rPr>
        <w:t xml:space="preserve"> </w:t>
      </w:r>
      <w:r w:rsidRPr="004A4F53">
        <w:rPr>
          <w:rFonts w:ascii="Arial" w:hAnsi="Arial" w:cs="Arial"/>
          <w:sz w:val="20"/>
          <w:szCs w:val="20"/>
        </w:rPr>
        <w:t>(AI)-based Decision Support Systems (DSS) to optimize scheduling processes in</w:t>
      </w:r>
      <w:r w:rsidR="00B50BA0">
        <w:rPr>
          <w:rFonts w:ascii="Arial" w:hAnsi="Arial" w:cs="Arial"/>
          <w:sz w:val="20"/>
          <w:szCs w:val="20"/>
        </w:rPr>
        <w:t xml:space="preserve"> </w:t>
      </w:r>
      <w:r w:rsidRPr="004A4F53">
        <w:rPr>
          <w:rFonts w:ascii="Arial" w:hAnsi="Arial" w:cs="Arial"/>
          <w:sz w:val="20"/>
          <w:szCs w:val="20"/>
        </w:rPr>
        <w:t>agribusiness SMEs. Focusing on a transnational case study involving a</w:t>
      </w:r>
      <w:r w:rsidR="00B50BA0">
        <w:rPr>
          <w:rFonts w:ascii="Arial" w:hAnsi="Arial" w:cs="Arial"/>
          <w:sz w:val="20"/>
          <w:szCs w:val="20"/>
        </w:rPr>
        <w:t xml:space="preserve"> </w:t>
      </w:r>
      <w:r w:rsidRPr="004A4F53">
        <w:rPr>
          <w:rFonts w:ascii="Arial" w:hAnsi="Arial" w:cs="Arial"/>
          <w:sz w:val="20"/>
          <w:szCs w:val="20"/>
        </w:rPr>
        <w:t>collaboration between dairy cooperatives in East Java, Indonesia and distribution</w:t>
      </w:r>
      <w:r w:rsidR="00B50BA0">
        <w:rPr>
          <w:rFonts w:ascii="Arial" w:hAnsi="Arial" w:cs="Arial"/>
          <w:sz w:val="20"/>
          <w:szCs w:val="20"/>
        </w:rPr>
        <w:t xml:space="preserve"> </w:t>
      </w:r>
      <w:r w:rsidRPr="004A4F53">
        <w:rPr>
          <w:rFonts w:ascii="Arial" w:hAnsi="Arial" w:cs="Arial"/>
          <w:sz w:val="20"/>
          <w:szCs w:val="20"/>
        </w:rPr>
        <w:t>networks in Johor, Malaysia, the paper illustrates how AI-driven forecasting and</w:t>
      </w:r>
      <w:r w:rsidR="00B50BA0">
        <w:rPr>
          <w:rFonts w:ascii="Arial" w:hAnsi="Arial" w:cs="Arial"/>
          <w:sz w:val="20"/>
          <w:szCs w:val="20"/>
        </w:rPr>
        <w:t xml:space="preserve"> </w:t>
      </w:r>
      <w:r w:rsidRPr="004A4F53">
        <w:rPr>
          <w:rFonts w:ascii="Arial" w:hAnsi="Arial" w:cs="Arial"/>
          <w:sz w:val="20"/>
          <w:szCs w:val="20"/>
        </w:rPr>
        <w:t>scheduling improved delivery accuracy, reduced spoilage rates, and aligned</w:t>
      </w:r>
      <w:r w:rsidR="00B50BA0">
        <w:rPr>
          <w:rFonts w:ascii="Arial" w:hAnsi="Arial" w:cs="Arial"/>
          <w:sz w:val="20"/>
          <w:szCs w:val="20"/>
        </w:rPr>
        <w:t xml:space="preserve"> </w:t>
      </w:r>
      <w:r w:rsidRPr="004A4F53">
        <w:rPr>
          <w:rFonts w:ascii="Arial" w:hAnsi="Arial" w:cs="Arial"/>
          <w:sz w:val="20"/>
          <w:szCs w:val="20"/>
        </w:rPr>
        <w:t>cross-border operations. The proposed modular AI architecture leverages</w:t>
      </w:r>
      <w:r w:rsidR="00B50BA0">
        <w:rPr>
          <w:rFonts w:ascii="Arial" w:hAnsi="Arial" w:cs="Arial"/>
          <w:sz w:val="20"/>
          <w:szCs w:val="20"/>
        </w:rPr>
        <w:t xml:space="preserve"> </w:t>
      </w:r>
      <w:r w:rsidRPr="004A4F53">
        <w:rPr>
          <w:rFonts w:ascii="Arial" w:hAnsi="Arial" w:cs="Arial"/>
          <w:sz w:val="20"/>
          <w:szCs w:val="20"/>
        </w:rPr>
        <w:t>machine learning algorithms, predictive analytics, and IoT-based real-time inputs</w:t>
      </w:r>
      <w:r w:rsidR="00B50BA0">
        <w:rPr>
          <w:rFonts w:ascii="Arial" w:hAnsi="Arial" w:cs="Arial"/>
          <w:sz w:val="20"/>
          <w:szCs w:val="20"/>
        </w:rPr>
        <w:t xml:space="preserve"> </w:t>
      </w:r>
      <w:r w:rsidRPr="004A4F53">
        <w:rPr>
          <w:rFonts w:ascii="Arial" w:hAnsi="Arial" w:cs="Arial"/>
          <w:sz w:val="20"/>
          <w:szCs w:val="20"/>
        </w:rPr>
        <w:t>to adapt to dynamic agricultural environments. Results from field</w:t>
      </w:r>
      <w:r w:rsidR="00B50BA0">
        <w:rPr>
          <w:rFonts w:ascii="Arial" w:hAnsi="Arial" w:cs="Arial"/>
          <w:sz w:val="20"/>
          <w:szCs w:val="20"/>
        </w:rPr>
        <w:t xml:space="preserve"> </w:t>
      </w:r>
      <w:r w:rsidRPr="004A4F53">
        <w:rPr>
          <w:rFonts w:ascii="Arial" w:hAnsi="Arial" w:cs="Arial"/>
          <w:sz w:val="20"/>
          <w:szCs w:val="20"/>
        </w:rPr>
        <w:t>implementation showed a 32% reduction in scheduling deviations and a 28%</w:t>
      </w:r>
      <w:r w:rsidR="00B50BA0">
        <w:rPr>
          <w:rFonts w:ascii="Arial" w:hAnsi="Arial" w:cs="Arial"/>
          <w:sz w:val="20"/>
          <w:szCs w:val="20"/>
        </w:rPr>
        <w:t xml:space="preserve"> </w:t>
      </w:r>
      <w:r w:rsidRPr="004A4F53">
        <w:rPr>
          <w:rFonts w:ascii="Arial" w:hAnsi="Arial" w:cs="Arial"/>
          <w:sz w:val="20"/>
          <w:szCs w:val="20"/>
        </w:rPr>
        <w:t>increase in demand prediction accuracy. The case study underscores AI’s</w:t>
      </w:r>
      <w:r w:rsidR="00B50BA0">
        <w:rPr>
          <w:rFonts w:ascii="Arial" w:hAnsi="Arial" w:cs="Arial"/>
          <w:sz w:val="20"/>
          <w:szCs w:val="20"/>
        </w:rPr>
        <w:t xml:space="preserve"> </w:t>
      </w:r>
      <w:r w:rsidRPr="004A4F53">
        <w:rPr>
          <w:rFonts w:ascii="Arial" w:hAnsi="Arial" w:cs="Arial"/>
          <w:sz w:val="20"/>
          <w:szCs w:val="20"/>
        </w:rPr>
        <w:t>transformative potential in improving operational resilience and sustainability for</w:t>
      </w:r>
      <w:r w:rsidR="00B50BA0">
        <w:rPr>
          <w:rFonts w:ascii="Arial" w:hAnsi="Arial" w:cs="Arial"/>
          <w:sz w:val="20"/>
          <w:szCs w:val="20"/>
        </w:rPr>
        <w:t xml:space="preserve"> </w:t>
      </w:r>
      <w:r w:rsidRPr="004A4F53">
        <w:rPr>
          <w:rFonts w:ascii="Arial" w:hAnsi="Arial" w:cs="Arial"/>
          <w:sz w:val="20"/>
          <w:szCs w:val="20"/>
        </w:rPr>
        <w:t>agribusiness SMEs in the ASEAN region, contributing to regional food security</w:t>
      </w:r>
      <w:r w:rsidR="00B50BA0">
        <w:rPr>
          <w:rFonts w:ascii="Arial" w:hAnsi="Arial" w:cs="Arial"/>
          <w:sz w:val="20"/>
          <w:szCs w:val="20"/>
        </w:rPr>
        <w:t xml:space="preserve"> </w:t>
      </w:r>
      <w:r w:rsidRPr="004A4F53">
        <w:rPr>
          <w:rFonts w:ascii="Arial" w:hAnsi="Arial" w:cs="Arial"/>
          <w:sz w:val="20"/>
          <w:szCs w:val="20"/>
        </w:rPr>
        <w:t>and competitive parity within global markets.</w:t>
      </w:r>
    </w:p>
    <w:p w14:paraId="2A87F50C" w14:textId="77777777" w:rsidR="004A4F53" w:rsidRPr="009333B4" w:rsidRDefault="004A4F53" w:rsidP="00A51969">
      <w:pPr>
        <w:spacing w:after="0" w:line="240" w:lineRule="auto"/>
        <w:jc w:val="both"/>
        <w:rPr>
          <w:rFonts w:ascii="Arial" w:hAnsi="Arial" w:cs="Arial"/>
          <w:sz w:val="20"/>
          <w:szCs w:val="20"/>
        </w:rPr>
      </w:pPr>
    </w:p>
    <w:p w14:paraId="6C677AD4" w14:textId="223B9F11"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Edita Rosana Widasari, Praditya Trido and Barlian Henryranu Prasetio. Resource-Efficient Edge AI for EMG-Based Bionic Prosthetic Hand Gesture Recognition Using a Lightweight CNN</w:t>
      </w:r>
    </w:p>
    <w:p w14:paraId="58E01318" w14:textId="31E25AA9"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Resource-efficient edge artificial intelligence is essential for enabling responsive, portable, and low-cost bionic prosthetic hand control. This study develops an electromyography-based hand gesture recognition system using a lightweight one-dimensional convolutional neural network deployed on an ESP32-S3 microcontroller. Eight-channel electromyography signals were acquired using an OYMotion gForce200 armband from fifteen healthy subjects performing ten prosthetic hand gestures, with ten subjects used for model development and five independent subjects used for real-time embedded testing. The signals were processed using windowing, full-wave rectification, moving root mean square, normalization, and Spatio-Temporal Feature Set representation before classification. Model-level offline evaluation achieved 97.55% accuracy, 97.57% precision, 97.58% recall, and 97.54% F1-score, indicating balanced recognition across gesture classes. System-level real-time embedded testing achieved 84% accuracy across five independent subjects, with an average inference time of 58.4 ms per window. The deployed system used 581,737 bytes of flash memory and 38,464 bytes of SRAM, while retaining approximately 353,116 bytes of dynamic heap memory. These results indicate that compact feature representation and lightweight convolutional neural network design can balance accuracy, latency, and memory efficiency for near real-time prosthetic control. The system supports sustainable and portable assistive technology, although further validation with amputee users is required.</w:t>
      </w:r>
    </w:p>
    <w:p w14:paraId="580E9780" w14:textId="77777777" w:rsidR="00627BDA" w:rsidRDefault="00627BDA" w:rsidP="00A51969">
      <w:pPr>
        <w:spacing w:after="0" w:line="240" w:lineRule="auto"/>
        <w:jc w:val="both"/>
        <w:rPr>
          <w:rFonts w:ascii="Arial" w:hAnsi="Arial" w:cs="Arial"/>
          <w:sz w:val="20"/>
          <w:szCs w:val="20"/>
        </w:rPr>
      </w:pPr>
    </w:p>
    <w:p w14:paraId="27497821" w14:textId="5F90FB89"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Barlian Henryranu Prasetio and Muhammad Sulthon Imam Puro. Breath Sound Spectral Analysis for Respitory Disease Detection</w:t>
      </w:r>
    </w:p>
    <w:p w14:paraId="48925FDB" w14:textId="0F0F1B02"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lastRenderedPageBreak/>
        <w:t>Abstract:</w:t>
      </w:r>
      <w:r w:rsidR="00C072F1" w:rsidRPr="00C072F1">
        <w:rPr>
          <w:rFonts w:ascii="Arial" w:hAnsi="Arial" w:cs="Arial"/>
          <w:sz w:val="20"/>
          <w:szCs w:val="20"/>
        </w:rPr>
        <w:t xml:space="preserve"> Respiratory disease is one of the most common health problems and is the biggest cause of death throughout the world. Respiratory diseases such as asthma, pneumonia and COPD are examples of the types of respiratory diseases that are often experienced. These diseases can interfere with activities and cause a decrease in quality of life. There are several procedures that can be done to diagnose someone suffering from respiratory disease, one of which is auscultation. Auscultation is a procedure to check lung health by identifying breathing sounds. However, in practice it requires knowledge and experience to be able to recognize and identify abnormal sounds in a patient's breathing. It is not uncommon for cases of misdiagnosis to occur due to lack of ability in auscultation. Moreover, with the use of a conventional stethoscope, the auscultation procedure can only be carried out at the same time without being able to play back the sound and can only be carried out by one user. So, to overcome this problem, this research designed a respiratory disease detection system based on breathing sounds. This research uses sound spectral analysis to identify respiratory sounds and obtain sound spectrum values for each respiratory disease sound as well as the Support Vector Machine classification model to carry out the classification process. After testing, the accuracy rate obtained by this respiratory disease detection system reached 78%.</w:t>
      </w:r>
    </w:p>
    <w:p w14:paraId="4BB9514C" w14:textId="77777777" w:rsidR="00627BDA" w:rsidRDefault="00627BDA" w:rsidP="00A51969">
      <w:pPr>
        <w:spacing w:after="0" w:line="240" w:lineRule="auto"/>
        <w:jc w:val="both"/>
        <w:rPr>
          <w:rFonts w:ascii="Arial" w:hAnsi="Arial" w:cs="Arial"/>
          <w:sz w:val="20"/>
          <w:szCs w:val="20"/>
        </w:rPr>
      </w:pPr>
    </w:p>
    <w:p w14:paraId="3274348B" w14:textId="42D6F672"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Mahendra Data. Combating Imbalanced Data in the Internet of Things Intrusion Detection Systems: A Cascade Model Approach</w:t>
      </w:r>
    </w:p>
    <w:p w14:paraId="2F108620" w14:textId="7C0BCA63"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In the face of evolving and increasingly sophisticated cyber attacks in the Internet of Things (IoT) environment, effective and robust Intrusion Detection Systems (IDSs) are crucial for safeguarding industrial and critical IoT infrastructure.</w:t>
      </w:r>
    </w:p>
    <w:p w14:paraId="27F633FF"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However, developing reliable and accurate intrusion detection models is challenging, particularly when dealing with imbalanced data that are characteristic of real-world IoT network attack traffic.</w:t>
      </w:r>
    </w:p>
    <w:p w14:paraId="2B358439"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To address these challenges, we proposed a Cascade Model, a comprehensive and robust approach that effectively addresses the challenges associated with training intrusion detection models on imbalanced data.</w:t>
      </w:r>
    </w:p>
    <w:p w14:paraId="3F1E363B"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Our innovative approach leverages a cascade of specialized classifiers to distinguish between normal and malicious network traffic effectively while maintaining high detection accuracy across a wide range of diverse attack categories.</w:t>
      </w:r>
    </w:p>
    <w:p w14:paraId="05133FC4"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Furthermore, we employ feature selection and various innovative sampling techniques to enhance the overall performance of the proposed model even further.</w:t>
      </w:r>
    </w:p>
    <w:p w14:paraId="4E81FCDF"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We evaluated our proposed Cascade Model approach using the comprehensive and up-to-date TON-IoT dataset, a widely recognized benchmark for intrusion detection research in IoT environments.</w:t>
      </w:r>
    </w:p>
    <w:p w14:paraId="6BCED977"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The experimental results demonstrate that our Cascade Model approach outperforms single model training approaches in accurately differentiating between normal and attack network traffic, while also effectively identifying a broad spectrum of attacks, even in the presence of highly imbalanced data distributions.</w:t>
      </w:r>
    </w:p>
    <w:p w14:paraId="43B48801" w14:textId="77777777" w:rsidR="00627BDA" w:rsidRDefault="00627BDA" w:rsidP="00A51969">
      <w:pPr>
        <w:spacing w:after="0" w:line="240" w:lineRule="auto"/>
        <w:jc w:val="both"/>
        <w:rPr>
          <w:rFonts w:ascii="Arial" w:hAnsi="Arial" w:cs="Arial"/>
          <w:sz w:val="20"/>
          <w:szCs w:val="20"/>
        </w:rPr>
      </w:pPr>
    </w:p>
    <w:p w14:paraId="79799DFE" w14:textId="1F70C14E"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Lailil Muflikhah, Galih Restu Baihaqi, Achmad Ridok and Sri Soenarti. Alzheimer's Classification Using Resnet50 Architecture with Ghost Weight Normalization</w:t>
      </w:r>
    </w:p>
    <w:p w14:paraId="49AF0B8A" w14:textId="63916FCD"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Alzheimer's disease is one of the most challenging diseases in healthcare, especially with the increasing elderly population around the world. Detection of Alzheimer's disease is crucial for early diagnosis for more effective treatment of Alzheimer's disease. However, the disease is often non-specific and almost resembles other neurological diseases. Recently, Deep Learning approach </w:t>
      </w:r>
      <w:proofErr w:type="gramStart"/>
      <w:r w:rsidR="00C072F1" w:rsidRPr="00C072F1">
        <w:rPr>
          <w:rFonts w:ascii="Arial" w:hAnsi="Arial" w:cs="Arial"/>
          <w:sz w:val="20"/>
          <w:szCs w:val="20"/>
        </w:rPr>
        <w:t>is</w:t>
      </w:r>
      <w:proofErr w:type="gramEnd"/>
      <w:r w:rsidR="00C072F1" w:rsidRPr="00C072F1">
        <w:rPr>
          <w:rFonts w:ascii="Arial" w:hAnsi="Arial" w:cs="Arial"/>
          <w:sz w:val="20"/>
          <w:szCs w:val="20"/>
        </w:rPr>
        <w:t xml:space="preserve"> widely used for classification process on medical data. However, to use Deep learning on medical data, we need a model that provides high accuracy to ensure accuracy. The dataset used is 3D MRI image data obtained from the Image &amp; Data Archive (IDA) managed by the Laboratory of Neuro Imaging (LONI). The model used to perform the classification process is the Resnet50 model modified by changing the normalization batch using the Ghost Weight Normalization (GWN) layer which works by breaking the whole weight into several parts to be normalized and recombined into the original weight so as to provide a lot of variation in the normalization process. The Resnet50 model modified using the GWN layer provides higher accuracy with 97% accuracy with a training time of 1 hour and 3 minutes compared to other models such as traditional CNN, traditional resnet50 and modified resnet50 but without GWN with 95%, 96% and 95% accuracy respectively and the training time is 59 minutes, 1 hour and 5 minutes, and 1 hour and 3 minutes respectively. Although Traditional CNN produces faster training time, the accuracy produced is still below the Resnet50 model modified using GWN.</w:t>
      </w:r>
    </w:p>
    <w:p w14:paraId="473EF5B1" w14:textId="77777777" w:rsidR="00627BDA" w:rsidRDefault="00627BDA" w:rsidP="00A51969">
      <w:pPr>
        <w:spacing w:after="0" w:line="240" w:lineRule="auto"/>
        <w:jc w:val="both"/>
        <w:rPr>
          <w:rFonts w:ascii="Arial" w:hAnsi="Arial" w:cs="Arial"/>
          <w:sz w:val="20"/>
          <w:szCs w:val="20"/>
        </w:rPr>
      </w:pPr>
    </w:p>
    <w:p w14:paraId="5B5A871F" w14:textId="7FD270D1"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Louis Irwan, Michael Angelus and Devyano Luhukay. A Systematic Literature Review of Machine Learning and Deep Learning Approaches for Credit Card Fraud Detection: Focus on Dataset Generalizability</w:t>
      </w:r>
    </w:p>
    <w:p w14:paraId="3AFE8FDF" w14:textId="4F90B62A"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Abstract— Fraudulent credit card transactions are a growing risk to financial systems worldwide. Hence, there is increased interest in the use of machine learning (ML) and deep learning (DL) approaches for fraud detection. In this paper we present a Systematic Literature Review (SLR) of 45 open access studies published in the period 2020-2025 that investigate model adoption, dataset usage, strategies for dealing with class imbalance, and the effects of multi-dataset evaluation on model generalizability. The review showed that </w:t>
      </w:r>
      <w:r w:rsidR="00C072F1" w:rsidRPr="00C072F1">
        <w:rPr>
          <w:rFonts w:ascii="Arial" w:hAnsi="Arial" w:cs="Arial"/>
          <w:sz w:val="20"/>
          <w:szCs w:val="20"/>
        </w:rPr>
        <w:lastRenderedPageBreak/>
        <w:t>ML based approaches are still the most adopted category (49%), with Random Forest being the most frequently occurring algorithm, followed by DL (35%) and hybrid ML+DL architectures (16%). The datasets analysis showed that 75% of the studies were done using the ULB/Kaggle European Credit Card Fraud Dataset and 64% of the studies used a single dataset for evaluation. The most common method to deal with class imbalance was data-level resampling (62%) and 25% of the studies did not apply any explicit strategy. The cross-dataset generalizability analysis, a key contribution of this review, examined 16 multi-dataset studies and found the variation of performance across datasets to be the most common pattern, with evidence for the optimal choice of model being dataset-dependent. These findings suggest that single-dataset evaluation, which is descriptive of most of the literature, is not sufficient to prove model generalizability, and future work should focus on multi-dataset evaluation and creating more diverse public benchmarks.</w:t>
      </w:r>
    </w:p>
    <w:p w14:paraId="04D8CBCF" w14:textId="77777777" w:rsidR="00627BDA" w:rsidRPr="0009073A" w:rsidRDefault="00627BDA" w:rsidP="00A51969">
      <w:pPr>
        <w:spacing w:after="0" w:line="240" w:lineRule="auto"/>
        <w:jc w:val="both"/>
        <w:rPr>
          <w:rFonts w:ascii="Arial" w:hAnsi="Arial" w:cs="Arial"/>
          <w:sz w:val="20"/>
          <w:szCs w:val="20"/>
          <w:lang w:val="en-US"/>
        </w:rPr>
      </w:pPr>
    </w:p>
    <w:p w14:paraId="52E22F29" w14:textId="55645334"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Eko Sakti Pramukantoro, Kasyful Amron, Rizal Setya Perdana and Dany Primanita Kartikasari. </w:t>
      </w:r>
      <w:r w:rsidRPr="00C072F1">
        <w:rPr>
          <w:rFonts w:ascii="Arial" w:hAnsi="Arial" w:cs="Arial"/>
          <w:sz w:val="20"/>
          <w:szCs w:val="20"/>
        </w:rPr>
        <w:t>REST vs. GraphQL for High-Frequency ECG Data Delivery: An Empirical Benchmark in Healthcare IoT</w:t>
      </w:r>
    </w:p>
    <w:p w14:paraId="4A3806DE" w14:textId="61B9652A"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Healthcare Internet of Things (IoT) deployments increasingly rely on web services to transmit high-frequency physiological data at scale, yet rigorous domain-specific performance evidence for selecting API architectures remains scarce. This paper presents an empirical comparison of Representational State Transfer (REST) and GraphQL for electrocardiogram (ECG) data delivery using real 60-second recordings sampled at 250 Hz (15,000 data points per session). Both architectures were implemented using Express.js with a MongoDB backend and evaluated under exponentially scaled concurrent loads (2^1–2^10 users) via Apache JMeter, measuring response time, throughput, CPU utilization, and memory consumption.</w:t>
      </w:r>
    </w:p>
    <w:p w14:paraId="626C5DB8"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Results show that the architectures are context-dependent rather than universally ranked. For read-heavy retrieval of large ECG payloads, GraphQL GET consistently outperforms REST GET: 49% lower mean response time (2,927 ms vs. 5,752 ms at 1,024 concurrent users), 26% higher throughput (117.20 vs. 93.18 req/s), and 24% lower memory consumption—gains driven specifically by selective field retrieval that avoids over-fetching on large, schema-rich documents. At low concurrency (&lt;64 users) the two are comparable, and REST exhibits an 8.6% lower initial CPU footprint together with a simpler codebase. POST-Stream writes operations degraded severely in both architectures (response times exceeding 100,000 ms; &gt;93% throughput collapse); we attribute this primarily to a methodological mismatch—complete 60-second bulk payloads were delivered to streaming endpoints instead of incremental real-time chunks—so these results bound bulk-upload behaviour rather than true streaming performance. We therefore recommend GraphQL GET for high-concurrency retrieval of large ECG records, REST GET for low-concurrency or development-speed-constrained deployments, and suggest persistent-connection protocols (e.g., WebSocket, gRPC) over HTTP POST as a promising direction for high-frequency batch and real-time writes, warranting dedicated empirical evaluation.</w:t>
      </w:r>
    </w:p>
    <w:p w14:paraId="4840FB97" w14:textId="77777777" w:rsidR="00627BDA" w:rsidRDefault="00627BDA" w:rsidP="00A51969">
      <w:pPr>
        <w:spacing w:after="0" w:line="240" w:lineRule="auto"/>
        <w:jc w:val="both"/>
        <w:rPr>
          <w:rFonts w:ascii="Arial" w:hAnsi="Arial" w:cs="Arial"/>
          <w:sz w:val="20"/>
          <w:szCs w:val="20"/>
        </w:rPr>
      </w:pPr>
    </w:p>
    <w:p w14:paraId="72544B56" w14:textId="0C0F767B"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Veronica Veronica, Harco Leslie Hendric Spits Warnars, Yohannes Kurniawan and Harjanto Prabowo. Key Implementation Factors for Generative Artificial Intelligence (GenAI) in Knowledge Work: Productivity, Work Transformation, and Governance Perspectives</w:t>
      </w:r>
    </w:p>
    <w:p w14:paraId="26DB06DF" w14:textId="42785725"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Generative Artificial Intelligence (GenAI) is increasingly embedded in organizational work to produce, analyze, evaluate and manage information. Previous studies show that GenAI can enhance productivity through content generation, information summarization, decision support, and knowledge management. However, the GenAI adoption in the organization also changes the nature of knowledge work by reshaping task execution, effort distribution, specialization, communication, and governance. This study explores the key aspects related to GenAI implementation in knowledge work within organizational context. A literature search was conducted using the Scopus database, focusing on relevant publications from 2023 to 2026. The initial search identified 474 articles, which were reduced to 446 after deduplication. After applying inclusion criteria, 273 articles remained, and title and abstract screening reduced the number to 73 articles became relevant. Ultimately, 27 articles were selected for synthesis. The analysis identified 18 key aspects of GenAI implementation, grouped into three dimensions: Smart Productivity, Smart Work Transformation, and Smart Governance and Control. The findings suggest that GenAI implementation requires not only productivity improvement but also task compatibility, domain expertise, information quality, human oversight, prompting capabilities, role transformation, risk governance, and AI.</w:t>
      </w:r>
    </w:p>
    <w:p w14:paraId="32CBB6BC" w14:textId="77777777" w:rsidR="00627BDA" w:rsidRDefault="00627BDA" w:rsidP="00A51969">
      <w:pPr>
        <w:spacing w:after="0" w:line="240" w:lineRule="auto"/>
        <w:jc w:val="both"/>
        <w:rPr>
          <w:rFonts w:ascii="Arial" w:hAnsi="Arial" w:cs="Arial"/>
          <w:sz w:val="20"/>
          <w:szCs w:val="20"/>
        </w:rPr>
      </w:pPr>
    </w:p>
    <w:p w14:paraId="3BA370C1" w14:textId="00009E76"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 xml:space="preserve">Cynthia Claryca, Michelle Angelina, Kelly Kumoro and Darusalam Darusalam. The Influence </w:t>
      </w:r>
      <w:proofErr w:type="gramStart"/>
      <w:r w:rsidRPr="00C072F1">
        <w:rPr>
          <w:rFonts w:ascii="Arial" w:hAnsi="Arial" w:cs="Arial"/>
          <w:sz w:val="20"/>
          <w:szCs w:val="20"/>
        </w:rPr>
        <w:t>Of</w:t>
      </w:r>
      <w:proofErr w:type="gramEnd"/>
      <w:r w:rsidRPr="00C072F1">
        <w:rPr>
          <w:rFonts w:ascii="Arial" w:hAnsi="Arial" w:cs="Arial"/>
          <w:sz w:val="20"/>
          <w:szCs w:val="20"/>
        </w:rPr>
        <w:t xml:space="preserve"> Artificial Intelligence Adoption on Audit Quality with Technology Acceptance Factors as determinants</w:t>
      </w:r>
    </w:p>
    <w:p w14:paraId="08296A7E" w14:textId="1C50A948"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Artificial intelligence (AI) innovation has revolutionized the field of auditing through enhancing data analytics, detecting anomalies, and increasing auditing efficiency. Nevertheless, little attention has been given on the effects of the various technological acceptance factors on the use of AI and the resultant audit quality, especially in the context of emerging economies like Indonesia. This study is thus set out to explore the effect of AI adoption on audit quality where Perceived Ease of Use (PEU) and Perceived Usefulness (PU) are considered the main technological acceptance determinants. To achieve this objective, the quantitative research </w:t>
      </w:r>
      <w:r w:rsidR="00C072F1" w:rsidRPr="00C072F1">
        <w:rPr>
          <w:rFonts w:ascii="Arial" w:hAnsi="Arial" w:cs="Arial"/>
          <w:sz w:val="20"/>
          <w:szCs w:val="20"/>
        </w:rPr>
        <w:lastRenderedPageBreak/>
        <w:t>design was adopted whereby the study participants were selected using the online questionnaire administered to auditors in Public Accounting firms in Indonesia. A total of 326 auditors participated in the study, and their responses were analyzed using Structural Equation Modeling – Partial Least Square (SEM-PLS). Results indicate that Perceived Usefulness significantly positively affects audit quality whereas Perceived Ease of Use does not have a significant direct effect on audit quality. The study thus makes an empirical contribution to the field of literature through its ability to incorporate AI adoption, factors of TAM model, and audit quality within one framework. From a practical perspective, the results give an insight that will help accounting firms focus on illustrating the tangible benefits of using AI in audits and training their auditors accordingly. Further research could be done on other factors that affect audit quality like auditor competence and trust in AI models.</w:t>
      </w:r>
    </w:p>
    <w:p w14:paraId="21C2AB73" w14:textId="77777777" w:rsidR="00627BDA" w:rsidRDefault="00627BDA" w:rsidP="00A51969">
      <w:pPr>
        <w:spacing w:after="0" w:line="240" w:lineRule="auto"/>
        <w:jc w:val="both"/>
        <w:rPr>
          <w:rFonts w:ascii="Arial" w:hAnsi="Arial" w:cs="Arial"/>
          <w:sz w:val="20"/>
          <w:szCs w:val="20"/>
        </w:rPr>
      </w:pPr>
    </w:p>
    <w:p w14:paraId="37E7171A" w14:textId="4C2E2808"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Gideon Mekonnen Jonathan, Parisa Aasi, Sileshi Demesie Yalew and Erik Perjons. Data Sovereignty and the Hidden Barriers to Generative AI Adoption in the Public Sector</w:t>
      </w:r>
    </w:p>
    <w:p w14:paraId="376E042E" w14:textId="4F40E7EB"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Generative artificial intelligence (GenAI) offers public-sector organisations substantial opportunities to improve services, yet its adoption is shaped by governance concerns—particularly data sovereignty. This study develops and empirically tests a governance-oriented model explaining how data sovereignty influences GenAI adoption and public value outcomes in public-sector organisations. Integrating the Technology–Organisation–Environment framework, Digital Governance Theory, and Public Value Theory, data sovereignty is conceptualised as a higher-order construct comprising control over public data, compliance and accountability, infrastructure and interoperability, and strategic autonomy. Using Partial Least Squares Structural Equation Modelling (PLS-SEM) on survey data from 228 public-sector professionals, the study finds that data sovereignty significantly increases organisational constraint mechanisms, which in turn reduce GenAI adoption, while adoption strongly predicts public value. The effect of data sovereignty on adoption is fully mediated and negative, whereas the hypothesised direct enabling effect and the moderating role of digital governance capability are not supported. These findings provide empirical evidence of a governance paradox in which the controls required to secure public data simultaneously constrain the innovation they are intended to enable.</w:t>
      </w:r>
    </w:p>
    <w:p w14:paraId="12215C1D" w14:textId="77777777" w:rsidR="00057245" w:rsidRDefault="00057245" w:rsidP="00A51969">
      <w:pPr>
        <w:spacing w:after="0" w:line="240" w:lineRule="auto"/>
        <w:jc w:val="both"/>
        <w:rPr>
          <w:rFonts w:ascii="Arial" w:hAnsi="Arial" w:cs="Arial"/>
          <w:sz w:val="20"/>
          <w:szCs w:val="20"/>
        </w:rPr>
      </w:pPr>
    </w:p>
    <w:p w14:paraId="12A33A58" w14:textId="7FDE66F9"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Anis Amna, Seppe Vanden Broucke and Geert Poels. Operationalizing the AmbiTRUS framework in User Story Ambiguity Analysis</w:t>
      </w:r>
    </w:p>
    <w:p w14:paraId="1B020F72" w14:textId="1C99E965"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Ambiguity is a complex yet common problem in natural language (NL)-based re-quirements. Despite this, several requirements quality frameworks address ambi-guity as a single quality criterion, which is not sufficient to address the various forms of ambiguity that exist. To tackle this issue, a user story quality framework named AmbiTRUS has been proposed to identify ambiguity in user stories. How-ever, a preliminary study revealed that applying the framework without tool </w:t>
      </w:r>
      <w:proofErr w:type="gramStart"/>
      <w:r w:rsidR="00C072F1" w:rsidRPr="00C072F1">
        <w:rPr>
          <w:rFonts w:ascii="Arial" w:hAnsi="Arial" w:cs="Arial"/>
          <w:sz w:val="20"/>
          <w:szCs w:val="20"/>
        </w:rPr>
        <w:t>sup-port</w:t>
      </w:r>
      <w:proofErr w:type="gramEnd"/>
      <w:r w:rsidR="00C072F1" w:rsidRPr="00C072F1">
        <w:rPr>
          <w:rFonts w:ascii="Arial" w:hAnsi="Arial" w:cs="Arial"/>
          <w:sz w:val="20"/>
          <w:szCs w:val="20"/>
        </w:rPr>
        <w:t xml:space="preserve"> was not effective, prompting the exploration of NLP techniques to enhance it. The paper </w:t>
      </w:r>
      <w:proofErr w:type="gramStart"/>
      <w:r w:rsidR="00C072F1" w:rsidRPr="00C072F1">
        <w:rPr>
          <w:rFonts w:ascii="Arial" w:hAnsi="Arial" w:cs="Arial"/>
          <w:sz w:val="20"/>
          <w:szCs w:val="20"/>
        </w:rPr>
        <w:t>describe</w:t>
      </w:r>
      <w:proofErr w:type="gramEnd"/>
      <w:r w:rsidR="00C072F1" w:rsidRPr="00C072F1">
        <w:rPr>
          <w:rFonts w:ascii="Arial" w:hAnsi="Arial" w:cs="Arial"/>
          <w:sz w:val="20"/>
          <w:szCs w:val="20"/>
        </w:rPr>
        <w:t xml:space="preserve"> the development of the AmbiTRUS tool, which operation-alizes the AmbiTRUS framework, to identify ambiguity in a set of user stories. The paper aims to provide a practical solution for early-career requirements engi-neers and business analysts, building awareness of different manifestations of ambiguity problems. A usability testing involving practitioners was conducted to assess the perceived effectiveness and usability of the tool in identifying and re-fining ambiguous user stories. The results indicate positive feedback from users, showing that the tool makes it easier to identify ambiguity in user stories.</w:t>
      </w:r>
    </w:p>
    <w:p w14:paraId="7CAA7426" w14:textId="77777777" w:rsidR="00057245" w:rsidRDefault="00057245" w:rsidP="00A51969">
      <w:pPr>
        <w:spacing w:after="0" w:line="240" w:lineRule="auto"/>
        <w:jc w:val="both"/>
        <w:rPr>
          <w:rFonts w:ascii="Arial" w:hAnsi="Arial" w:cs="Arial"/>
          <w:sz w:val="20"/>
          <w:szCs w:val="20"/>
        </w:rPr>
      </w:pPr>
    </w:p>
    <w:p w14:paraId="39175B36" w14:textId="24D78F8A"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Brigitta Susilo, Aissyah Sari, Nurminanda Faustine, Nadia Alysia and Desi Christiani. The Impact of Artificial Intelligence Knowledge and Perception on Accounting Students’ Career Readiness in the Digital Era</w:t>
      </w:r>
    </w:p>
    <w:p w14:paraId="5012F571" w14:textId="036C2B50"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swift advancement of artificial intelligence is changing the accounting field and generating new requirements for upcoming accountants. As technology progresses and transforms workplace practices, accounting students need to cultivate the skills necessary to thrive in a digital environment. This research intends to in-vestigate how AI understanding and AI views affect the career preparedness of accounting students within a digital and AI-oriented work setting. This research utilized a quantitative method by gathering data via surveys given to accounting students in Indonesia and examining the data using Partial Least Squares Struc-tural Equation Modeling with SmartPLS as the analytical tool. The findings show that knowledge of AI positively impacts career readiness, while AI perception does not significantly affect it, indicating that students’ readiness for careers is more shaped by their comprehension of AI than by their views on it. The re-search adds to the body of work on technology adoption and professional growth in accounting.</w:t>
      </w:r>
    </w:p>
    <w:p w14:paraId="7E384B66" w14:textId="77777777" w:rsidR="00057245" w:rsidRPr="0009073A" w:rsidRDefault="00057245" w:rsidP="00A51969">
      <w:pPr>
        <w:spacing w:after="0" w:line="240" w:lineRule="auto"/>
        <w:jc w:val="both"/>
        <w:rPr>
          <w:rFonts w:ascii="Arial" w:hAnsi="Arial" w:cs="Arial"/>
          <w:sz w:val="20"/>
          <w:szCs w:val="20"/>
          <w:lang w:val="en-US"/>
        </w:rPr>
      </w:pPr>
    </w:p>
    <w:p w14:paraId="025ECD31" w14:textId="3236DFE6"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Gideon Mekonnen Jonathan, Parisa Aasi and Erik Perjons. </w:t>
      </w:r>
      <w:r w:rsidRPr="00C072F1">
        <w:rPr>
          <w:rFonts w:ascii="Arial" w:hAnsi="Arial" w:cs="Arial"/>
          <w:sz w:val="20"/>
          <w:szCs w:val="20"/>
        </w:rPr>
        <w:t>Health Misinformation Susceptibility and Health Behaviour in Developing Countries: A PLS-SEM Study</w:t>
      </w:r>
    </w:p>
    <w:p w14:paraId="09F27BD0" w14:textId="3EFA2664"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Digital platforms have widened access to health information but also accelerated the spread of health misinformation, a challenge that is especially acute in developing countries with fragile health systems and lower institutional trust. Prior research has largely examined the determinants of misinformation in isolation and has drawn predominantly on high-income settings, leaving little understanding of how institutional, social, cultural, and technological factors jointly shape susceptibility to misinformation and subsequent health behaviour. </w:t>
      </w:r>
      <w:r w:rsidR="00C072F1" w:rsidRPr="00C072F1">
        <w:rPr>
          <w:rFonts w:ascii="Arial" w:hAnsi="Arial" w:cs="Arial"/>
          <w:sz w:val="20"/>
          <w:szCs w:val="20"/>
        </w:rPr>
        <w:lastRenderedPageBreak/>
        <w:t>Drawing on a sociotechnical perspective, this study develops and tests a model of health misinformation susceptibility and its consequences for positive health behaviour in developing-country contexts. Survey data from 317 respondents were analysed using partial least squares structural equation modelling (PLS-SEM). Institutional trust and health literacy significantly reduced susceptibility, whereas social media dependence increased it; cultural influences had no significant direct effect. Susceptibility, in turn, substantially lowered positive health behaviour and mediated the effects of trust, literacy, and social media dependence, while community-based engagement did not significantly moderate this relationship. The study conceptualises susceptibility as a multidimensional higher-order construct, contributes quantitative evidence from an understudied context, and points policymakers towards trust-building, health-literacy, and preventive interventions.</w:t>
      </w:r>
    </w:p>
    <w:p w14:paraId="45B6BE4C" w14:textId="77777777" w:rsidR="00057245" w:rsidRDefault="00057245" w:rsidP="00A51969">
      <w:pPr>
        <w:spacing w:after="0" w:line="240" w:lineRule="auto"/>
        <w:jc w:val="both"/>
        <w:rPr>
          <w:rFonts w:ascii="Arial" w:hAnsi="Arial" w:cs="Arial"/>
          <w:sz w:val="20"/>
          <w:szCs w:val="20"/>
        </w:rPr>
      </w:pPr>
    </w:p>
    <w:p w14:paraId="36849815" w14:textId="50B187E2"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Sheearly Dicsa Arnelia, Sofiah Salim and Dedy Syamsuar. Driven by Data, Moved by Value: Understanding Consumer Responses to AI-Driven Advertising in E-Commerce</w:t>
      </w:r>
    </w:p>
    <w:p w14:paraId="17CB2CF9" w14:textId="0E8CACC4"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rapid growth in the use of artificial intelligence (AI) in digital marketing is transforming how e-commerce interacts with consumers </w:t>
      </w:r>
      <w:proofErr w:type="gramStart"/>
      <w:r w:rsidR="00C072F1" w:rsidRPr="00C072F1">
        <w:rPr>
          <w:rFonts w:ascii="Arial" w:hAnsi="Arial" w:cs="Arial"/>
          <w:sz w:val="20"/>
          <w:szCs w:val="20"/>
        </w:rPr>
        <w:t>through the use of</w:t>
      </w:r>
      <w:proofErr w:type="gramEnd"/>
      <w:r w:rsidR="00C072F1" w:rsidRPr="00C072F1">
        <w:rPr>
          <w:rFonts w:ascii="Arial" w:hAnsi="Arial" w:cs="Arial"/>
          <w:sz w:val="20"/>
          <w:szCs w:val="20"/>
        </w:rPr>
        <w:t xml:space="preserve"> personalized content. Although it is generally accepted that personalization in advertising can increase response rates, the actual impact remains unknown. Therefore, this study examines the influence of advertising features including personalization, informativeness, and trustworthiness on purchase intention. A quantitative research approach was adopted by collecting data through online survey. The sample consisted of 140 participants with experience in social media and e-commerce. Partial Least Squares Structural Equation Modeling (PLS-SEM) techniques were used to analyze and verify the proposed research model. The results indicate that advertising value has a high, positive, and statistically significant influence on purchase intention. Of the three antecedents of trust, advertising value, and informativeness, only trust and advertising value were found to have a positive and statistically significant influence on advertising value. In today’s online environment, it can be concluded that personalization is an important feature, but not a significant one. On the other hand, the findings indicate that consumers are paying more attention to informativeness and trustworthiness in advertising. This study highlights the importance of placing trustworthy and informative content as the primary focus of AI-based advertising.</w:t>
      </w:r>
    </w:p>
    <w:p w14:paraId="7200E3DF" w14:textId="77777777" w:rsidR="00057245" w:rsidRDefault="00057245" w:rsidP="00A51969">
      <w:pPr>
        <w:spacing w:after="0" w:line="240" w:lineRule="auto"/>
        <w:jc w:val="both"/>
        <w:rPr>
          <w:rFonts w:ascii="Arial" w:hAnsi="Arial" w:cs="Arial"/>
          <w:sz w:val="20"/>
          <w:szCs w:val="20"/>
        </w:rPr>
      </w:pPr>
    </w:p>
    <w:p w14:paraId="6888FE5B" w14:textId="0EAF313F"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Gracia Martha Taslim, Agnes Isabel Leo, Kezia Karuna Haryanto, Teumsakdi Vassa Yulianta and Linda Kusumaning Wedari. Artificial Intelligence Adoption and ESG Controversies: Evidence from Southeast Asian Manufacturing Companies</w:t>
      </w:r>
    </w:p>
    <w:p w14:paraId="6A92E836" w14:textId="528206C8"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research focuses on the impact of artificial intelligence on environmental, social, and governance (ESG) controversy for the manufacturing companies in Southeast Asia. A panel data sample of 309 observations for 64 companies from six Southeast Asian nations during the years 2020 to 2024 was used to measure the effect using a Random Effect model and System GMM robustness test. ESG controversies were measured using the Refinitiv ESG Controversy Score, where higher scores indicate fewer controversies. Artificial Intelligence adoption was measured using the keyword frequency analysis on the annual reports and sustainability reports of Southeast Asian manufacturing companies. The result consistently shows a significant positive association between high artificial intelligence adoption and higher ESG controversy scores, showing that higher artificial intelligence adoption leads to fewer ESG controversies for companies. The theories used for the hypothesis development include Stakeholder Theory, Information Processing Theory, and Contingency Theory. These theories align with the previous studies, which have proven that artificial intelligence helps increase company transparency, monitoring, and risk management.</w:t>
      </w:r>
    </w:p>
    <w:p w14:paraId="66A44392" w14:textId="77777777" w:rsidR="00057245" w:rsidRDefault="00057245" w:rsidP="00A51969">
      <w:pPr>
        <w:spacing w:after="0" w:line="240" w:lineRule="auto"/>
        <w:jc w:val="both"/>
        <w:rPr>
          <w:rFonts w:ascii="Arial" w:hAnsi="Arial" w:cs="Arial"/>
          <w:sz w:val="20"/>
          <w:szCs w:val="20"/>
        </w:rPr>
      </w:pPr>
    </w:p>
    <w:p w14:paraId="20E342D3" w14:textId="2732E5BD"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Agnesia Christiady, Laura Ashley, Pearly Calissa, Daniel Walalangi and Linda Wedari. AI-Enabled Digital Transformation for Sustainable Financial Performance: Evidence from Indonesia’s Energy and and Mining Sectors</w:t>
      </w:r>
    </w:p>
    <w:p w14:paraId="49875F02" w14:textId="14A12259"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examines the effect of artificial intelligence adoption on firm financial performance in Indonesia's energy and mining sectors. The analysis uses panel data of 419 firm-year observations from 90 listed companies during 2020 to 2024. AI adoption is measured through Python-based text analysis of annual reports, counting AI-related keyword frequencies. Financial performance is proxied by earnings per share (EPS), with debt-to-asset ratio, asset turnover, and firm size as control variables. A Random Effects Model is selected based on the Breusch-Pagan LM and Hausman tests. The results show that AI adoption has a marginally significant positive effect on financial performance (β = 0.009, p = 0.051), while control variables are statistically insignificant. The findings are consistent with the Resource-Based View, Dynamic Capabilities Theory, and the Technology Acceptance Model, which frame AI as a value-creating strategic capability. The study contributes to the emerging-market evidence base on AI and firm performance, particularly in capital-intensive sectors, and offers a replicable text-analysis approach to measuring AI adoption from disclosure data.</w:t>
      </w:r>
    </w:p>
    <w:p w14:paraId="7D3E5833" w14:textId="77777777" w:rsidR="00057245" w:rsidRDefault="00057245" w:rsidP="00A51969">
      <w:pPr>
        <w:spacing w:after="0" w:line="240" w:lineRule="auto"/>
        <w:jc w:val="both"/>
        <w:rPr>
          <w:rFonts w:ascii="Arial" w:hAnsi="Arial" w:cs="Arial"/>
          <w:sz w:val="20"/>
          <w:szCs w:val="20"/>
        </w:rPr>
      </w:pPr>
    </w:p>
    <w:p w14:paraId="6954BF11" w14:textId="46C135EB"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lastRenderedPageBreak/>
        <w:t>Michelle Senyadji, Aiko Sutanto, Athalia Nyanaviro, Aththar Purwasunu and Septi Wifasari. The Impact of Green Intelligence to ESG Scores in the ASEAN Banking Sector (2020-2024)</w:t>
      </w:r>
    </w:p>
    <w:p w14:paraId="7332EC3A" w14:textId="5807C8B2"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Artificial Intelligence (AI) is increasingly used in ESG reporting and decision-making, yet the role of AI-driven textual analysis in improving ESG performance remains underexplored. This study examines the effect of Green Intelligence on ESG performance in ASEAN banking firms during 2020–2024 and investigates the moderating role of financial stability measured by the Zmijewski Z-Score. Using panel data regression on 248 firm-year observations from the LSEG Refinitiv database, the results show that Green Intelligence positively and significantly influences ESG performance. The interaction between Green Intelligence and financial stability is also significant, indicating that firms with higher financial distress risk derive greater ESG benefits from Green Intelligence. Robustness tests confirm the positive relationship, with stronger effects among less profitable banks. These findings support Stake-holder Theory and the Resource-Based View (RBV), suggesting that Green Intelligence serves as a strategic capability that enhances ESG performance and competitive advantage.</w:t>
      </w:r>
    </w:p>
    <w:p w14:paraId="08C00E87" w14:textId="77777777" w:rsidR="00057245" w:rsidRDefault="00057245" w:rsidP="00A51969">
      <w:pPr>
        <w:spacing w:after="0" w:line="240" w:lineRule="auto"/>
        <w:jc w:val="both"/>
        <w:rPr>
          <w:rFonts w:ascii="Arial" w:hAnsi="Arial" w:cs="Arial"/>
          <w:sz w:val="20"/>
          <w:szCs w:val="20"/>
        </w:rPr>
      </w:pPr>
    </w:p>
    <w:p w14:paraId="039D7359" w14:textId="5BCAA8F1"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Marybelle Ho, Malika Simon, Aileen Wanahardja, Daniel Prakosa, Linda Wedari and Vu Binh. Digital Transformation and Carbon Emissions in Firm Value and Firm Performance on Energy and Utilities Sector in ASEAN</w:t>
      </w:r>
    </w:p>
    <w:p w14:paraId="4A5EBDA0" w14:textId="6F1D6EC0"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Digital transformation and carbon emissions have become increasingly important strategic and sustainability issues for firms operating in energy intensive industries. This study explores the impacts of digital transformation and car-bon emission on firm value and performance in the energy and utility sector of six ASEAN countries from 2020 to 2024. The final sample consists of 323 firm-year observations. Digital transformation is measured using text-based analysis of digital transformation-related keywords in annual reports, while carbon emissions are captured by carbon emission intensity. Firm value is proxied by price-to-book value, and firm performance is measured by return on equity. Panel data estimation is employed, with the fixed effects model used for firm value and the random effects model used for firm performance. The findings show that carbon emission intensity has a negative and significant effect on firm value, suggesting that investors may penalize firms with higher carbon emissions. Digital transformation, however, does not significantly affect firm value. In contrast, digital transformation has a negative effect on firm performance, while carbon emission intensity does not significantly influence firm performance. This study contributes to the literature by providing empirical evidence on the financial implications of digital transformation and carbon emissions in the ASEAN energy and utility sector. The findings offer practical implications for stakeholders in balancing digital investment, environmental responsibility, and financial outcomes.</w:t>
      </w:r>
    </w:p>
    <w:p w14:paraId="774C744D" w14:textId="77777777" w:rsidR="00057245" w:rsidRDefault="00057245" w:rsidP="00A51969">
      <w:pPr>
        <w:spacing w:after="0" w:line="240" w:lineRule="auto"/>
        <w:jc w:val="both"/>
        <w:rPr>
          <w:rFonts w:ascii="Arial" w:hAnsi="Arial" w:cs="Arial"/>
          <w:sz w:val="20"/>
          <w:szCs w:val="20"/>
        </w:rPr>
      </w:pPr>
    </w:p>
    <w:p w14:paraId="2F9D87FB" w14:textId="4AFA16E0"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Vallencia Angellyne, Linda Kusumaning Wedari, Aurelia Giustiani, Hillary Renata Mulyawan and Karla Lita. Drivers of ChatGPT Usage Intensity among Accounting Students in Indonesia Higher Education Institutions: The Moderating Effect of Academic Utilization</w:t>
      </w:r>
    </w:p>
    <w:p w14:paraId="49766E64" w14:textId="36B3D3FA"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research explores the impact of Academic Perceived Value and Social Academic Influence on the ChatGPT Usage Intensity of accounting students in Indonesia, incorporating Academic Utilization of ChatGPT as a moderating factor. A quantitative methodology is applied, with data obtained via an online survey targeting students with ChatGPT usage experience for academic </w:t>
      </w:r>
      <w:proofErr w:type="gramStart"/>
      <w:r w:rsidR="00C072F1" w:rsidRPr="00C072F1">
        <w:rPr>
          <w:rFonts w:ascii="Arial" w:hAnsi="Arial" w:cs="Arial"/>
          <w:sz w:val="20"/>
          <w:szCs w:val="20"/>
        </w:rPr>
        <w:t>pur-poses</w:t>
      </w:r>
      <w:proofErr w:type="gramEnd"/>
      <w:r w:rsidR="00C072F1" w:rsidRPr="00C072F1">
        <w:rPr>
          <w:rFonts w:ascii="Arial" w:hAnsi="Arial" w:cs="Arial"/>
          <w:sz w:val="20"/>
          <w:szCs w:val="20"/>
        </w:rPr>
        <w:t>. Of the 477 submissions, 375 were suitable, and were analyzed using SmartPLS 4. Results show that both Academic Perceived Value and Social Academic Influence positively and significantly impact ChatGPT Usage Inten-sity, demonstrating that students are likely to use ChatGPT more if they think that it is academically helpful and if they are so influenced by the members of their academic environment. This study does not find support for the moderat-ing effect of Academic Utilization of ChatGPT. This researchs finds that stu-dents’ academic perceived value of ChatGPT and social academic environment influence the intensity of ChatGPT Usage, and that Academic Utilization of ChatGPT does not meaningfully enhance the relationships described in the study.</w:t>
      </w:r>
    </w:p>
    <w:p w14:paraId="3E3EFBE0" w14:textId="77777777" w:rsidR="00057245" w:rsidRDefault="00057245" w:rsidP="00A51969">
      <w:pPr>
        <w:spacing w:after="0" w:line="240" w:lineRule="auto"/>
        <w:jc w:val="both"/>
        <w:rPr>
          <w:rFonts w:ascii="Arial" w:hAnsi="Arial" w:cs="Arial"/>
          <w:sz w:val="20"/>
          <w:szCs w:val="20"/>
        </w:rPr>
      </w:pPr>
    </w:p>
    <w:p w14:paraId="5F75D3BC" w14:textId="4B16A183"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Dhiki Putra and Fransisca Rusgowanto. Artificial Intelligence and Accounting Students’ Creativity, Habit, and Critical Thinking in Using Accounting Software</w:t>
      </w:r>
    </w:p>
    <w:p w14:paraId="4648B23B" w14:textId="1359AD34"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Artificial intelligence has reshaped accounting education, yet little is known about how routine AI use affects the higher-order skills graduates need. Grounded in the Unified Theory of Acceptance and Use of Technology 2 (UTAUT2) and cognitive load theory, this study examines whether AI usage influences accounting students' creativi-ty, directly and indirectly through habit and critical thinking. Using a quantitative, cross-sectional design, data from 415 Indonesian university students experienced with AI-based accounting software were analyzed via partial least squares structural equa-tion modeling (PLS-SEM) with 5,000-resample bootstrapping. All seven hypotheses were supported. Habit was the dominant mechanism: AI usage strongly shaped habit-ual use (β = 0.515), the strongest predictor of creativity (β = 0.478), with an indirect effect (β = 0.246) nearly matching AI's direct effect (β = 0.256). Although AI influ-enced critical thinking (β = 0.405), the path from critical thinking to creativity was negligible (β = 0.090). The model explained 49.1% of the variance in </w:t>
      </w:r>
      <w:r w:rsidR="00C072F1" w:rsidRPr="00C072F1">
        <w:rPr>
          <w:rFonts w:ascii="Arial" w:hAnsi="Arial" w:cs="Arial"/>
          <w:sz w:val="20"/>
          <w:szCs w:val="20"/>
        </w:rPr>
        <w:lastRenderedPageBreak/>
        <w:t>creativity. In accounting's structured domain, behavioral pathways outperform cognitive ones, so educators should prioritize habitual AI use over verification-focused critical thinking.</w:t>
      </w:r>
    </w:p>
    <w:p w14:paraId="0367D837" w14:textId="77777777" w:rsidR="00057245" w:rsidRPr="0009073A" w:rsidRDefault="00057245" w:rsidP="00A51969">
      <w:pPr>
        <w:spacing w:after="0" w:line="240" w:lineRule="auto"/>
        <w:jc w:val="both"/>
        <w:rPr>
          <w:rFonts w:ascii="Arial" w:hAnsi="Arial" w:cs="Arial"/>
          <w:sz w:val="20"/>
          <w:szCs w:val="20"/>
          <w:lang w:val="en-US"/>
        </w:rPr>
      </w:pPr>
    </w:p>
    <w:p w14:paraId="6DEA6097" w14:textId="11519FB0"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Andre Wijaya Kusuma, Arnesia Mutiasari, Daniel Percival, Salvia Giovanni and Linda Kusumaning Wedari. </w:t>
      </w:r>
      <w:r w:rsidRPr="00C072F1">
        <w:rPr>
          <w:rFonts w:ascii="Arial" w:hAnsi="Arial" w:cs="Arial"/>
          <w:sz w:val="20"/>
          <w:szCs w:val="20"/>
        </w:rPr>
        <w:t>Integrating AI-Based Continuous Emission Monitoring Systems into Corporate Reporting and Carbon Tax Enforcement: A Comprehensive Review and Integrated Framework</w:t>
      </w:r>
    </w:p>
    <w:p w14:paraId="538874EB" w14:textId="7822C322"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Artificial Intelligence (AI) has emerged as a promising technology for enhancing Continuous Emission Monitoring Systems (CEMS) by enabling real-time processing and analysis of large-scale emissions data. However, existing research remains fragmented across environmental monitoring, artificial intelligence, sustainability reporting, and carbon tax enforcement, with limited attention to how information systems integrate these domains into a unified governance mechanism. This study examines 47 peer-reviewed articles to provide a comprehensive overview of how AI-driven information systems facilitate emissions monitoring and its downstream impact on corporate accountability. The analysis reveals a rapidly evolving yet disconnected body of research, leading to the development of an integrated AI-based CEMS framework. This framework conceptualizes how key decarbonization drivers stimulate AI-enabled emissions monitoring systems, which subsequently strengthen corporate reporting, carbon tax enforcement, and carbon accountability outcomes. By consolidating dispersed evidence into a coherent information systems and governance perspective, this study identifies future research directions and offers practical implications for policymakers, regulators, and corporations seeking to leverage technology-driven systems for strengthening carbon accountability, particularly in emerging economies.</w:t>
      </w:r>
    </w:p>
    <w:p w14:paraId="0D58157B" w14:textId="77777777" w:rsidR="00057245" w:rsidRDefault="00057245" w:rsidP="00A51969">
      <w:pPr>
        <w:spacing w:after="0" w:line="240" w:lineRule="auto"/>
        <w:jc w:val="both"/>
        <w:rPr>
          <w:rFonts w:ascii="Arial" w:hAnsi="Arial" w:cs="Arial"/>
          <w:sz w:val="20"/>
          <w:szCs w:val="20"/>
        </w:rPr>
      </w:pPr>
    </w:p>
    <w:p w14:paraId="34FA4326" w14:textId="41DE6F13"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Dedy Syamsuar, Daniel Kartawiguna and Darius Antoni. What Drives Students to Adopt Cloud Computing? Evidence from Higher Education</w:t>
      </w:r>
    </w:p>
    <w:p w14:paraId="7FEED23B" w14:textId="18A40210"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Cloud computing has become an important part of teaching and learning in higher education because it supports access to academic resources, collaboration, and task management. This study examines the factors that influence students’ intention to adopt cloud computing and its relationship with academic performance. Drawing on the Technology Acceptance Model, the study incorporates knowledge sharing, knowledge application, learnability, self-efficacy, perceived enjoyment, and social influence alongside perceived usefulness and perceived ease of use. Data were collected from 270 university students through an online survey and analyzed using Partial Least Squares Structural Equation Modeling (PLS-SEM). The findings show that knowledge application, knowledge sharing, and social influence significantly influence perceived usefulness, while self-efficacy and perceived enjoyment significantly influence perceived ease of use. Perceived usefulness, perceived ease of use, and social influence also significantly affect students’ intention to adopt cloud computing, which in turn has a strong positive effect on academic performance. Overall, the results highlight the importance of cognitive, social, and capability-related factors in explaining students’ cloud computing adoption intention in higher education.</w:t>
      </w:r>
    </w:p>
    <w:p w14:paraId="4692F0B3" w14:textId="77777777" w:rsidR="00923529" w:rsidRPr="0009073A" w:rsidRDefault="00923529" w:rsidP="00A51969">
      <w:pPr>
        <w:spacing w:after="0" w:line="240" w:lineRule="auto"/>
        <w:jc w:val="both"/>
        <w:rPr>
          <w:rFonts w:ascii="Arial" w:hAnsi="Arial" w:cs="Arial"/>
          <w:sz w:val="20"/>
          <w:szCs w:val="20"/>
          <w:lang w:val="en-US"/>
        </w:rPr>
      </w:pPr>
    </w:p>
    <w:p w14:paraId="080421F0" w14:textId="246B61C8"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Raina Aristadewi Satyaputri, Stefany Widjaja and Darusalam Darusalam. </w:t>
      </w:r>
      <w:r w:rsidRPr="00C072F1">
        <w:rPr>
          <w:rFonts w:ascii="Arial" w:hAnsi="Arial" w:cs="Arial"/>
          <w:sz w:val="20"/>
          <w:szCs w:val="20"/>
        </w:rPr>
        <w:t>The Influence of Financial Inclusion and Environmental Responsibility on Economic Sustainability: The Mediating Role of ICT Usage in Indonesia</w:t>
      </w:r>
    </w:p>
    <w:p w14:paraId="018982D0" w14:textId="1AC8A134"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Today, the growth of the digital economy, modern financial systems</w:t>
      </w:r>
      <w:r w:rsidR="00923529">
        <w:rPr>
          <w:rFonts w:ascii="Arial" w:hAnsi="Arial" w:cs="Arial"/>
          <w:sz w:val="20"/>
          <w:szCs w:val="20"/>
        </w:rPr>
        <w:t xml:space="preserve"> </w:t>
      </w:r>
      <w:r w:rsidR="00C072F1" w:rsidRPr="00C072F1">
        <w:rPr>
          <w:rFonts w:ascii="Arial" w:hAnsi="Arial" w:cs="Arial"/>
          <w:sz w:val="20"/>
          <w:szCs w:val="20"/>
        </w:rPr>
        <w:t>and green business practices shape how companies survive over the long term.</w:t>
      </w:r>
      <w:r w:rsidR="00923529">
        <w:rPr>
          <w:rFonts w:ascii="Arial" w:hAnsi="Arial" w:cs="Arial"/>
          <w:sz w:val="20"/>
          <w:szCs w:val="20"/>
        </w:rPr>
        <w:t xml:space="preserve"> </w:t>
      </w:r>
      <w:r w:rsidR="00C072F1" w:rsidRPr="00C072F1">
        <w:rPr>
          <w:rFonts w:ascii="Arial" w:hAnsi="Arial" w:cs="Arial"/>
          <w:sz w:val="20"/>
          <w:szCs w:val="20"/>
        </w:rPr>
        <w:t>This study evaluates the dual-stage structural framework of macro-financial</w:t>
      </w:r>
      <w:r w:rsidR="00923529">
        <w:rPr>
          <w:rFonts w:ascii="Arial" w:hAnsi="Arial" w:cs="Arial"/>
          <w:sz w:val="20"/>
          <w:szCs w:val="20"/>
        </w:rPr>
        <w:t xml:space="preserve"> </w:t>
      </w:r>
      <w:r w:rsidR="00C072F1" w:rsidRPr="00C072F1">
        <w:rPr>
          <w:rFonts w:ascii="Arial" w:hAnsi="Arial" w:cs="Arial"/>
          <w:sz w:val="20"/>
          <w:szCs w:val="20"/>
        </w:rPr>
        <w:t>frameworks and micro-corporate ecological governance in an emerging market</w:t>
      </w:r>
      <w:r w:rsidR="00923529">
        <w:rPr>
          <w:rFonts w:ascii="Arial" w:hAnsi="Arial" w:cs="Arial"/>
          <w:sz w:val="20"/>
          <w:szCs w:val="20"/>
        </w:rPr>
        <w:t xml:space="preserve"> </w:t>
      </w:r>
      <w:r w:rsidR="00C072F1" w:rsidRPr="00C072F1">
        <w:rPr>
          <w:rFonts w:ascii="Arial" w:hAnsi="Arial" w:cs="Arial"/>
          <w:sz w:val="20"/>
          <w:szCs w:val="20"/>
        </w:rPr>
        <w:t>context. Utilizing a balanced panel dataset of 25 corporate-year observations</w:t>
      </w:r>
      <w:r w:rsidR="00923529">
        <w:rPr>
          <w:rFonts w:ascii="Arial" w:hAnsi="Arial" w:cs="Arial"/>
          <w:sz w:val="20"/>
          <w:szCs w:val="20"/>
        </w:rPr>
        <w:t xml:space="preserve"> </w:t>
      </w:r>
      <w:r w:rsidR="00C072F1" w:rsidRPr="00C072F1">
        <w:rPr>
          <w:rFonts w:ascii="Arial" w:hAnsi="Arial" w:cs="Arial"/>
          <w:sz w:val="20"/>
          <w:szCs w:val="20"/>
        </w:rPr>
        <w:t>from strategic sectors listed on the Indonesia Stock Exchange (IDX) from 2020</w:t>
      </w:r>
      <w:r w:rsidR="00923529">
        <w:rPr>
          <w:rFonts w:ascii="Arial" w:hAnsi="Arial" w:cs="Arial"/>
          <w:sz w:val="20"/>
          <w:szCs w:val="20"/>
        </w:rPr>
        <w:t xml:space="preserve"> </w:t>
      </w:r>
      <w:r w:rsidR="00C072F1" w:rsidRPr="00C072F1">
        <w:rPr>
          <w:rFonts w:ascii="Arial" w:hAnsi="Arial" w:cs="Arial"/>
          <w:sz w:val="20"/>
          <w:szCs w:val="20"/>
        </w:rPr>
        <w:t>to 2024, the model is tested via a two-stage Ordinary Least Squares (OLS) path</w:t>
      </w:r>
      <w:r w:rsidR="00923529">
        <w:rPr>
          <w:rFonts w:ascii="Arial" w:hAnsi="Arial" w:cs="Arial"/>
          <w:sz w:val="20"/>
          <w:szCs w:val="20"/>
        </w:rPr>
        <w:t xml:space="preserve"> </w:t>
      </w:r>
      <w:r w:rsidR="00C072F1" w:rsidRPr="00C072F1">
        <w:rPr>
          <w:rFonts w:ascii="Arial" w:hAnsi="Arial" w:cs="Arial"/>
          <w:sz w:val="20"/>
          <w:szCs w:val="20"/>
        </w:rPr>
        <w:t>estimation. The empirical results reveal that macro-financial inclusion serves as</w:t>
      </w:r>
      <w:r w:rsidR="00923529">
        <w:rPr>
          <w:rFonts w:ascii="Arial" w:hAnsi="Arial" w:cs="Arial"/>
          <w:sz w:val="20"/>
          <w:szCs w:val="20"/>
        </w:rPr>
        <w:t xml:space="preserve"> </w:t>
      </w:r>
      <w:r w:rsidR="00C072F1" w:rsidRPr="00C072F1">
        <w:rPr>
          <w:rFonts w:ascii="Arial" w:hAnsi="Arial" w:cs="Arial"/>
          <w:sz w:val="20"/>
          <w:szCs w:val="20"/>
        </w:rPr>
        <w:t>a powerful and highly significant driver for expanding national ICT usage (p &lt;</w:t>
      </w:r>
      <w:r w:rsidR="00923529">
        <w:rPr>
          <w:rFonts w:ascii="Arial" w:hAnsi="Arial" w:cs="Arial"/>
          <w:sz w:val="20"/>
          <w:szCs w:val="20"/>
        </w:rPr>
        <w:t xml:space="preserve"> </w:t>
      </w:r>
      <w:r w:rsidR="00C072F1" w:rsidRPr="00C072F1">
        <w:rPr>
          <w:rFonts w:ascii="Arial" w:hAnsi="Arial" w:cs="Arial"/>
          <w:sz w:val="20"/>
          <w:szCs w:val="20"/>
        </w:rPr>
        <w:t>0.001). Conversely, at the terminal microeconomic phase, corporate environmental responsibility exerts a negative and highly significant direct impact on corporate Economic Sustainability (p &lt; 0.001). This critical finding strongly supports</w:t>
      </w:r>
      <w:r w:rsidR="00923529">
        <w:rPr>
          <w:rFonts w:ascii="Arial" w:hAnsi="Arial" w:cs="Arial"/>
          <w:sz w:val="20"/>
          <w:szCs w:val="20"/>
        </w:rPr>
        <w:t xml:space="preserve"> </w:t>
      </w:r>
      <w:r w:rsidR="00C072F1" w:rsidRPr="00C072F1">
        <w:rPr>
          <w:rFonts w:ascii="Arial" w:hAnsi="Arial" w:cs="Arial"/>
          <w:sz w:val="20"/>
          <w:szCs w:val="20"/>
        </w:rPr>
        <w:t>the Trade-off Theory, proving that rigorous compliance with international green</w:t>
      </w:r>
      <w:r w:rsidR="00923529">
        <w:rPr>
          <w:rFonts w:ascii="Arial" w:hAnsi="Arial" w:cs="Arial"/>
          <w:sz w:val="20"/>
          <w:szCs w:val="20"/>
        </w:rPr>
        <w:t xml:space="preserve"> </w:t>
      </w:r>
      <w:r w:rsidR="00C072F1" w:rsidRPr="00C072F1">
        <w:rPr>
          <w:rFonts w:ascii="Arial" w:hAnsi="Arial" w:cs="Arial"/>
          <w:sz w:val="20"/>
          <w:szCs w:val="20"/>
        </w:rPr>
        <w:t>metrics imposes heavy immediate operational costs that temporarily suppress</w:t>
      </w:r>
      <w:r w:rsidR="00923529">
        <w:rPr>
          <w:rFonts w:ascii="Arial" w:hAnsi="Arial" w:cs="Arial"/>
          <w:sz w:val="20"/>
          <w:szCs w:val="20"/>
        </w:rPr>
        <w:t xml:space="preserve"> </w:t>
      </w:r>
      <w:r w:rsidR="00C072F1" w:rsidRPr="00C072F1">
        <w:rPr>
          <w:rFonts w:ascii="Arial" w:hAnsi="Arial" w:cs="Arial"/>
          <w:sz w:val="20"/>
          <w:szCs w:val="20"/>
        </w:rPr>
        <w:t>corporate asset profitability (ROA). Furthermore, macro-digital adoption fails to</w:t>
      </w:r>
      <w:r w:rsidR="00923529">
        <w:rPr>
          <w:rFonts w:ascii="Arial" w:hAnsi="Arial" w:cs="Arial"/>
          <w:sz w:val="20"/>
          <w:szCs w:val="20"/>
        </w:rPr>
        <w:t xml:space="preserve"> </w:t>
      </w:r>
      <w:r w:rsidR="00C072F1" w:rsidRPr="00C072F1">
        <w:rPr>
          <w:rFonts w:ascii="Arial" w:hAnsi="Arial" w:cs="Arial"/>
          <w:sz w:val="20"/>
          <w:szCs w:val="20"/>
        </w:rPr>
        <w:t>influence firm-level performance directly, thereby formally rejecting the structural mediation hypothesis.</w:t>
      </w:r>
    </w:p>
    <w:p w14:paraId="51717986" w14:textId="77777777" w:rsidR="00923529" w:rsidRDefault="00923529" w:rsidP="00A51969">
      <w:pPr>
        <w:spacing w:after="0" w:line="240" w:lineRule="auto"/>
        <w:jc w:val="both"/>
        <w:rPr>
          <w:rFonts w:ascii="Arial" w:hAnsi="Arial" w:cs="Arial"/>
          <w:sz w:val="20"/>
          <w:szCs w:val="20"/>
        </w:rPr>
      </w:pPr>
    </w:p>
    <w:p w14:paraId="136C12E6" w14:textId="0E28E1F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Caroline Natasya Fetterly, Marcellino Thio Frando, Ajeng Leadiani Anes and Lindrianasari Lindrianasari. AI-Based News Sentiment and Stock Market Returns in the Context of Institutional Uncertainty: Evidence from Indonesia 2023-2025</w:t>
      </w:r>
    </w:p>
    <w:p w14:paraId="341DB0E9" w14:textId="4202F28D"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Stock market volatility in Indonesia is often influenced by institutional uncertainty, particularly during periods of policy transition, political dynamics, and macroeconomic conditions that significantly impact stock market volatility. In such situations, all forms of news disseminated in the media play a crucial role in shaping various investor expectations and reactions, while simultaneously influencing the direction of financial market movements. Advances in artificial intelligence (AI) technology enable systematic and large-scale news </w:t>
      </w:r>
      <w:r w:rsidR="00C072F1" w:rsidRPr="00C072F1">
        <w:rPr>
          <w:rFonts w:ascii="Arial" w:hAnsi="Arial" w:cs="Arial"/>
          <w:sz w:val="20"/>
          <w:szCs w:val="20"/>
        </w:rPr>
        <w:lastRenderedPageBreak/>
        <w:t>sentiment analysis, thereby opening new opportunities to understand how information flows impact stock market fluctuations. This study aims to provide empirical evidence of the influence of market sentiment through AI-based news processing on stock returns in Indonesia as represented by the weekly return of the JCI. The research method employed is quantitative, involving the collection and processing of data comprising 938 news articles related to economic, political, and institutional issues occurring in Indonesia during the 2023–2025 period. The results of the study indicate that the AI-based news sentiment index has a significant impact on the IHSG return, with a negative relationship between news sentiment in the previous period and the IHSG return in the subsequent period, suggesting that an increase in positive sentiment tends to be followed by lower returns in the following week.</w:t>
      </w:r>
    </w:p>
    <w:p w14:paraId="4039F5E5" w14:textId="77777777" w:rsidR="008A2BE4" w:rsidRDefault="008A2BE4" w:rsidP="00A51969">
      <w:pPr>
        <w:spacing w:after="0" w:line="240" w:lineRule="auto"/>
        <w:jc w:val="both"/>
        <w:rPr>
          <w:rFonts w:ascii="Arial" w:hAnsi="Arial" w:cs="Arial"/>
          <w:sz w:val="20"/>
          <w:szCs w:val="20"/>
        </w:rPr>
      </w:pPr>
    </w:p>
    <w:p w14:paraId="7218B831" w14:textId="7AF265D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Sherlyne Gilda Pheson, Maria Nathania Sukacita Dirga Purwantoro Putri, Aurelia Nadya Halim, Crystal Adelia Purwadi and Darusalam Darusalam. The Effect of Digital Transformation on the Financial Performance of Banks in Southeast Asia Emerging Market Countries</w:t>
      </w:r>
    </w:p>
    <w:p w14:paraId="362233A5" w14:textId="132FEB21"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research looks at how banks in developing Southeast Asian</w:t>
      </w:r>
      <w:r w:rsidR="008A2BE4">
        <w:rPr>
          <w:rFonts w:ascii="Arial" w:hAnsi="Arial" w:cs="Arial"/>
          <w:sz w:val="20"/>
          <w:szCs w:val="20"/>
        </w:rPr>
        <w:t xml:space="preserve"> </w:t>
      </w:r>
      <w:r w:rsidR="00C072F1" w:rsidRPr="00C072F1">
        <w:rPr>
          <w:rFonts w:ascii="Arial" w:hAnsi="Arial" w:cs="Arial"/>
          <w:sz w:val="20"/>
          <w:szCs w:val="20"/>
        </w:rPr>
        <w:t>economies have fared financially after embracing digital transformation.</w:t>
      </w:r>
      <w:r w:rsidR="008A2BE4">
        <w:rPr>
          <w:rFonts w:ascii="Arial" w:hAnsi="Arial" w:cs="Arial"/>
          <w:sz w:val="20"/>
          <w:szCs w:val="20"/>
        </w:rPr>
        <w:t xml:space="preserve"> </w:t>
      </w:r>
      <w:r w:rsidR="00C072F1" w:rsidRPr="00C072F1">
        <w:rPr>
          <w:rFonts w:ascii="Arial" w:hAnsi="Arial" w:cs="Arial"/>
          <w:sz w:val="20"/>
          <w:szCs w:val="20"/>
        </w:rPr>
        <w:t>Throughout the years 2020-2024, 25 different banks were selected from the</w:t>
      </w:r>
      <w:r w:rsidR="008A2BE4">
        <w:rPr>
          <w:rFonts w:ascii="Arial" w:hAnsi="Arial" w:cs="Arial"/>
          <w:sz w:val="20"/>
          <w:szCs w:val="20"/>
        </w:rPr>
        <w:t xml:space="preserve"> </w:t>
      </w:r>
      <w:r w:rsidR="00C072F1" w:rsidRPr="00C072F1">
        <w:rPr>
          <w:rFonts w:ascii="Arial" w:hAnsi="Arial" w:cs="Arial"/>
          <w:sz w:val="20"/>
          <w:szCs w:val="20"/>
        </w:rPr>
        <w:t>following countries: Indonesia, Malaysia, Thailand, Vietnam, and the</w:t>
      </w:r>
      <w:r w:rsidR="008A2BE4">
        <w:rPr>
          <w:rFonts w:ascii="Arial" w:hAnsi="Arial" w:cs="Arial"/>
          <w:sz w:val="20"/>
          <w:szCs w:val="20"/>
        </w:rPr>
        <w:t xml:space="preserve"> </w:t>
      </w:r>
      <w:r w:rsidR="00C072F1" w:rsidRPr="00C072F1">
        <w:rPr>
          <w:rFonts w:ascii="Arial" w:hAnsi="Arial" w:cs="Arial"/>
          <w:sz w:val="20"/>
          <w:szCs w:val="20"/>
        </w:rPr>
        <w:t>Philippines. The Refinitiv database, annual reports, and sustainability reports</w:t>
      </w:r>
      <w:r w:rsidR="008A2BE4">
        <w:rPr>
          <w:rFonts w:ascii="Arial" w:hAnsi="Arial" w:cs="Arial"/>
          <w:sz w:val="20"/>
          <w:szCs w:val="20"/>
        </w:rPr>
        <w:t xml:space="preserve"> </w:t>
      </w:r>
      <w:r w:rsidR="00C072F1" w:rsidRPr="00C072F1">
        <w:rPr>
          <w:rFonts w:ascii="Arial" w:hAnsi="Arial" w:cs="Arial"/>
          <w:sz w:val="20"/>
          <w:szCs w:val="20"/>
        </w:rPr>
        <w:t>were used to gather secondary data. We used Return on Assets (ROA) as a</w:t>
      </w:r>
      <w:r w:rsidR="008A2BE4">
        <w:rPr>
          <w:rFonts w:ascii="Arial" w:hAnsi="Arial" w:cs="Arial"/>
          <w:sz w:val="20"/>
          <w:szCs w:val="20"/>
        </w:rPr>
        <w:t xml:space="preserve"> </w:t>
      </w:r>
      <w:r w:rsidR="00C072F1" w:rsidRPr="00C072F1">
        <w:rPr>
          <w:rFonts w:ascii="Arial" w:hAnsi="Arial" w:cs="Arial"/>
          <w:sz w:val="20"/>
          <w:szCs w:val="20"/>
        </w:rPr>
        <w:t>financial performance metric and digital transformation as a metric for digital</w:t>
      </w:r>
      <w:r w:rsidR="008A2BE4">
        <w:rPr>
          <w:rFonts w:ascii="Arial" w:hAnsi="Arial" w:cs="Arial"/>
          <w:sz w:val="20"/>
          <w:szCs w:val="20"/>
        </w:rPr>
        <w:t xml:space="preserve"> </w:t>
      </w:r>
      <w:r w:rsidR="00C072F1" w:rsidRPr="00C072F1">
        <w:rPr>
          <w:rFonts w:ascii="Arial" w:hAnsi="Arial" w:cs="Arial"/>
          <w:sz w:val="20"/>
          <w:szCs w:val="20"/>
        </w:rPr>
        <w:t>transformation-related keywords disclosed in annual sustainability reports for</w:t>
      </w:r>
      <w:r w:rsidR="008A2BE4">
        <w:rPr>
          <w:rFonts w:ascii="Arial" w:hAnsi="Arial" w:cs="Arial"/>
          <w:sz w:val="20"/>
          <w:szCs w:val="20"/>
        </w:rPr>
        <w:t xml:space="preserve"> </w:t>
      </w:r>
      <w:r w:rsidR="00C072F1" w:rsidRPr="00C072F1">
        <w:rPr>
          <w:rFonts w:ascii="Arial" w:hAnsi="Arial" w:cs="Arial"/>
          <w:sz w:val="20"/>
          <w:szCs w:val="20"/>
        </w:rPr>
        <w:t>Python-based text analysis. A statistical analysis was</w:t>
      </w:r>
      <w:r w:rsidR="008A2BE4">
        <w:rPr>
          <w:rFonts w:ascii="Arial" w:hAnsi="Arial" w:cs="Arial"/>
          <w:sz w:val="20"/>
          <w:szCs w:val="20"/>
        </w:rPr>
        <w:t xml:space="preserve"> </w:t>
      </w:r>
      <w:r w:rsidR="00C072F1" w:rsidRPr="00C072F1">
        <w:rPr>
          <w:rFonts w:ascii="Arial" w:hAnsi="Arial" w:cs="Arial"/>
          <w:sz w:val="20"/>
          <w:szCs w:val="20"/>
        </w:rPr>
        <w:t>performed using Stata for</w:t>
      </w:r>
      <w:r w:rsidR="008A2BE4">
        <w:rPr>
          <w:rFonts w:ascii="Arial" w:hAnsi="Arial" w:cs="Arial"/>
          <w:sz w:val="20"/>
          <w:szCs w:val="20"/>
        </w:rPr>
        <w:t xml:space="preserve"> </w:t>
      </w:r>
      <w:r w:rsidR="00C072F1" w:rsidRPr="00C072F1">
        <w:rPr>
          <w:rFonts w:ascii="Arial" w:hAnsi="Arial" w:cs="Arial"/>
          <w:sz w:val="20"/>
          <w:szCs w:val="20"/>
        </w:rPr>
        <w:t>the panel data regression. Higher degrees of digital transformation are</w:t>
      </w:r>
      <w:r w:rsidR="008A2BE4">
        <w:rPr>
          <w:rFonts w:ascii="Arial" w:hAnsi="Arial" w:cs="Arial"/>
          <w:sz w:val="20"/>
          <w:szCs w:val="20"/>
        </w:rPr>
        <w:t xml:space="preserve"> </w:t>
      </w:r>
      <w:r w:rsidR="00C072F1" w:rsidRPr="00C072F1">
        <w:rPr>
          <w:rFonts w:ascii="Arial" w:hAnsi="Arial" w:cs="Arial"/>
          <w:sz w:val="20"/>
          <w:szCs w:val="20"/>
        </w:rPr>
        <w:t>associated with greater financial performance for banks, according to the data,</w:t>
      </w:r>
      <w:r w:rsidR="008A2BE4">
        <w:rPr>
          <w:rFonts w:ascii="Arial" w:hAnsi="Arial" w:cs="Arial"/>
          <w:sz w:val="20"/>
          <w:szCs w:val="20"/>
        </w:rPr>
        <w:t xml:space="preserve"> </w:t>
      </w:r>
      <w:r w:rsidR="00C072F1" w:rsidRPr="00C072F1">
        <w:rPr>
          <w:rFonts w:ascii="Arial" w:hAnsi="Arial" w:cs="Arial"/>
          <w:sz w:val="20"/>
          <w:szCs w:val="20"/>
        </w:rPr>
        <w:t>which show that digital transformation has a positive and substantial impact on</w:t>
      </w:r>
      <w:r w:rsidR="008A2BE4">
        <w:rPr>
          <w:rFonts w:ascii="Arial" w:hAnsi="Arial" w:cs="Arial"/>
          <w:sz w:val="20"/>
          <w:szCs w:val="20"/>
        </w:rPr>
        <w:t xml:space="preserve"> </w:t>
      </w:r>
      <w:r w:rsidR="00C072F1" w:rsidRPr="00C072F1">
        <w:rPr>
          <w:rFonts w:ascii="Arial" w:hAnsi="Arial" w:cs="Arial"/>
          <w:sz w:val="20"/>
          <w:szCs w:val="20"/>
        </w:rPr>
        <w:t>longevity. The results suggest that digital technologies have the potential to</w:t>
      </w:r>
      <w:r w:rsidR="008A2BE4">
        <w:rPr>
          <w:rFonts w:ascii="Arial" w:hAnsi="Arial" w:cs="Arial"/>
          <w:sz w:val="20"/>
          <w:szCs w:val="20"/>
        </w:rPr>
        <w:t xml:space="preserve"> </w:t>
      </w:r>
      <w:r w:rsidR="00C072F1" w:rsidRPr="00C072F1">
        <w:rPr>
          <w:rFonts w:ascii="Arial" w:hAnsi="Arial" w:cs="Arial"/>
          <w:sz w:val="20"/>
          <w:szCs w:val="20"/>
        </w:rPr>
        <w:t>boost operational efficiency, service quality, and competitiveness for banks.</w:t>
      </w:r>
      <w:r w:rsidR="008A2BE4">
        <w:rPr>
          <w:rFonts w:ascii="Arial" w:hAnsi="Arial" w:cs="Arial"/>
          <w:sz w:val="20"/>
          <w:szCs w:val="20"/>
        </w:rPr>
        <w:t xml:space="preserve"> </w:t>
      </w:r>
      <w:r w:rsidR="00C072F1" w:rsidRPr="00C072F1">
        <w:rPr>
          <w:rFonts w:ascii="Arial" w:hAnsi="Arial" w:cs="Arial"/>
          <w:sz w:val="20"/>
          <w:szCs w:val="20"/>
        </w:rPr>
        <w:t>While company size does not have a statistically significant impact on financial</w:t>
      </w:r>
      <w:r w:rsidR="008A2BE4">
        <w:rPr>
          <w:rFonts w:ascii="Arial" w:hAnsi="Arial" w:cs="Arial"/>
          <w:sz w:val="20"/>
          <w:szCs w:val="20"/>
        </w:rPr>
        <w:t xml:space="preserve"> </w:t>
      </w:r>
      <w:r w:rsidR="00C072F1" w:rsidRPr="00C072F1">
        <w:rPr>
          <w:rFonts w:ascii="Arial" w:hAnsi="Arial" w:cs="Arial"/>
          <w:sz w:val="20"/>
          <w:szCs w:val="20"/>
        </w:rPr>
        <w:t>success, The Capital Adequacy Ratio and Debt to Asset Ratio do. The setting of</w:t>
      </w:r>
      <w:r w:rsidR="008A2BE4">
        <w:rPr>
          <w:rFonts w:ascii="Arial" w:hAnsi="Arial" w:cs="Arial"/>
          <w:sz w:val="20"/>
          <w:szCs w:val="20"/>
        </w:rPr>
        <w:t xml:space="preserve"> </w:t>
      </w:r>
      <w:r w:rsidR="00C072F1" w:rsidRPr="00C072F1">
        <w:rPr>
          <w:rFonts w:ascii="Arial" w:hAnsi="Arial" w:cs="Arial"/>
          <w:sz w:val="20"/>
          <w:szCs w:val="20"/>
        </w:rPr>
        <w:t>ASEAN developing countries has been largely ignored in prior research; this</w:t>
      </w:r>
      <w:r w:rsidR="008A2BE4">
        <w:rPr>
          <w:rFonts w:ascii="Arial" w:hAnsi="Arial" w:cs="Arial"/>
          <w:sz w:val="20"/>
          <w:szCs w:val="20"/>
        </w:rPr>
        <w:t xml:space="preserve"> </w:t>
      </w:r>
      <w:r w:rsidR="00C072F1" w:rsidRPr="00C072F1">
        <w:rPr>
          <w:rFonts w:ascii="Arial" w:hAnsi="Arial" w:cs="Arial"/>
          <w:sz w:val="20"/>
          <w:szCs w:val="20"/>
        </w:rPr>
        <w:t>study fills that gap by offering empirical information on the relationship</w:t>
      </w:r>
      <w:r w:rsidR="008A2BE4">
        <w:rPr>
          <w:rFonts w:ascii="Arial" w:hAnsi="Arial" w:cs="Arial"/>
          <w:sz w:val="20"/>
          <w:szCs w:val="20"/>
        </w:rPr>
        <w:t xml:space="preserve"> </w:t>
      </w:r>
      <w:r w:rsidR="00C072F1" w:rsidRPr="00C072F1">
        <w:rPr>
          <w:rFonts w:ascii="Arial" w:hAnsi="Arial" w:cs="Arial"/>
          <w:sz w:val="20"/>
          <w:szCs w:val="20"/>
        </w:rPr>
        <w:t>between digital transformation and the financial performance of banks</w:t>
      </w:r>
      <w:r w:rsidR="008A2BE4">
        <w:rPr>
          <w:rFonts w:ascii="Arial" w:hAnsi="Arial" w:cs="Arial"/>
          <w:sz w:val="20"/>
          <w:szCs w:val="20"/>
        </w:rPr>
        <w:t xml:space="preserve"> </w:t>
      </w:r>
      <w:r w:rsidR="00C072F1" w:rsidRPr="00C072F1">
        <w:rPr>
          <w:rFonts w:ascii="Arial" w:hAnsi="Arial" w:cs="Arial"/>
          <w:sz w:val="20"/>
          <w:szCs w:val="20"/>
        </w:rPr>
        <w:t>operating in these regions.</w:t>
      </w:r>
    </w:p>
    <w:p w14:paraId="5CCE8C8A" w14:textId="77777777" w:rsidR="008A2BE4" w:rsidRDefault="008A2BE4" w:rsidP="00A51969">
      <w:pPr>
        <w:spacing w:after="0" w:line="240" w:lineRule="auto"/>
        <w:jc w:val="both"/>
        <w:rPr>
          <w:rFonts w:ascii="Arial" w:hAnsi="Arial" w:cs="Arial"/>
          <w:sz w:val="20"/>
          <w:szCs w:val="20"/>
        </w:rPr>
      </w:pPr>
    </w:p>
    <w:p w14:paraId="59241B3B" w14:textId="25EBA96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Louis Fernando Hermawan, Ervina Aprillia Hosan, Keren Hana Syalomitha Sumajow, Stefhanus Imanuel Efendi and Linda Kusumaning Wedari. Generative AI Use, AI Competency, and Learning Outcomes among Accounting Students: Evidence from Indonesian Higher Education</w:t>
      </w:r>
    </w:p>
    <w:p w14:paraId="59357B8D" w14:textId="589C52F0"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integration of Generative AI into higher education has reshaped how accounting stu-dents access information, process complex concepts, and complete academic tasks. Whether this integration improves or undermines learning outcomes remains contested, particularly in emerging-market settings where AI literacy programs are still developing. This study examines how Generative AI use and Generative AI competency shape accounting student learning in Indonesian higher education, drawing on Cognitive Load Theory and AI Com-petency framework. Survey data from 401 undergraduate accounting students across Indo-nesia were analyzed using Partial Least Squares Structural Equation Modeling. The results show that both Generative AI use and Generative AI competency have positive and statisti-cally significant effects on accounting student learning, jointly explaining 66.2 percent of the variance. The study contributes empirical evidence on AI-supported learning in an un-derexamined emerging-market accounting education setting, refines Cognitive Load Theory by introducing competency as a conditional mechanism, and informs accounting education policy makers including the Indonesian Institute of Accountants (IAI), accreditation bodies, and Big Four employers on the design of AI literacy frameworks aligned with International Education Standards.</w:t>
      </w:r>
    </w:p>
    <w:p w14:paraId="071E067D" w14:textId="77777777" w:rsidR="008A2BE4" w:rsidRPr="0009073A" w:rsidRDefault="008A2BE4" w:rsidP="00A51969">
      <w:pPr>
        <w:spacing w:after="0" w:line="240" w:lineRule="auto"/>
        <w:jc w:val="both"/>
        <w:rPr>
          <w:rFonts w:ascii="Arial" w:hAnsi="Arial" w:cs="Arial"/>
          <w:sz w:val="20"/>
          <w:szCs w:val="20"/>
          <w:lang w:val="en-US"/>
        </w:rPr>
      </w:pPr>
    </w:p>
    <w:p w14:paraId="73D1B73F" w14:textId="6536EC8F"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Ardelia Puspita, Kezia Louisa, Nayyara Refandi, Nabila Agustin and Linda Wedari. </w:t>
      </w:r>
      <w:r w:rsidRPr="00C072F1">
        <w:rPr>
          <w:rFonts w:ascii="Arial" w:hAnsi="Arial" w:cs="Arial"/>
          <w:sz w:val="20"/>
          <w:szCs w:val="20"/>
        </w:rPr>
        <w:t>AI-Driven Personalization and Consumer Financial Behavior: Evidence from Generation Z in Indonesia’s E-Commerce Ecosystem</w:t>
      </w:r>
    </w:p>
    <w:p w14:paraId="4F6FE2B9" w14:textId="68A81894"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examines how AI-driven personalization influences purchase decisions and consumer budgeting behavior among Generation Z consumers in Indonesia's e-commerce environment. Drawing on survey data from 294 Generation Z respondents and analyzed using Partial Least Squares Structural Equation Modeling, the study tests four hypotheses on the direct, joint, and mediating relationships between AI-driven personalization, purchase decisions, and budgeting behavior. The results show that AI-driven personalization significantly affects both purchase decisions (β = 0.855, p &lt; 0.001) and consumer budgeting behavior (β = 0.942, p &lt; 0.001). However, purchase decisions do not significantly affect budgeting behavior (β = -0.143, p = 0.101), and the mediating role of purchase decisions is not supported (β = -0.122, p = 0.100). These findings indicate that AI-driven personalization shapes budgeting behavior directly rather than through purchase activities, consistent with Mental Accounting Theory's argument that consumers maintain separate mental accounts for transaction-level and budgeting level decisions. The study contributes to behavioral accounting research by clarifying the direct psychological influence of AI technologies on Generation Z's financial behavior </w:t>
      </w:r>
      <w:r w:rsidR="00C072F1" w:rsidRPr="00C072F1">
        <w:rPr>
          <w:rFonts w:ascii="Arial" w:hAnsi="Arial" w:cs="Arial"/>
          <w:sz w:val="20"/>
          <w:szCs w:val="20"/>
        </w:rPr>
        <w:lastRenderedPageBreak/>
        <w:t>and offers practical guidance for e-commerce platforms and policymakers on designing responsible AI personalization frameworks.</w:t>
      </w:r>
    </w:p>
    <w:p w14:paraId="52E63974" w14:textId="77777777" w:rsidR="008A2BE4" w:rsidRPr="0009073A" w:rsidRDefault="008A2BE4" w:rsidP="00A51969">
      <w:pPr>
        <w:spacing w:after="0" w:line="240" w:lineRule="auto"/>
        <w:jc w:val="both"/>
        <w:rPr>
          <w:rFonts w:ascii="Arial" w:hAnsi="Arial" w:cs="Arial"/>
          <w:sz w:val="20"/>
          <w:szCs w:val="20"/>
          <w:lang w:val="en-US"/>
        </w:rPr>
      </w:pPr>
    </w:p>
    <w:p w14:paraId="1259B032" w14:textId="68C118ED"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Carissa Natania Handaja, Naisya Devani Aprilia, Marchella Kosasih, Gladys Nur Annisa Hutagalung and Fransisca Hanita Rusgowanto. </w:t>
      </w:r>
      <w:r w:rsidRPr="00C072F1">
        <w:rPr>
          <w:rFonts w:ascii="Arial" w:hAnsi="Arial" w:cs="Arial"/>
          <w:sz w:val="20"/>
          <w:szCs w:val="20"/>
        </w:rPr>
        <w:t>The Role of Trust in Robo-Advisor Systems and Per-ceived Usefulness in Shaping Retail Investors’ Behavioral Intention to Use Robo-Advisors</w:t>
      </w:r>
    </w:p>
    <w:p w14:paraId="15C9319A" w14:textId="59244BA6"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research studies the influencing factors of robo-advisor’s adoption among Indonesian retail investor using the roles of Trust in Robo-Advisor System and Perceived Usefulness as key determinants. Quantitative research through online questionnaire is done by collecting data from 450 retail investors in In-donesia as respondents. Collected data was analyzes using PLS-SEM using SmartPLS 4. Findings suggest that trust and perceived usefulness is signifi-cantly positive towards investors’ intention to adopt robo-advisor. Perceived usefulness is identified to have stronger influence, means that show a greater intention to adopt robo-advisor if they perceived the system is beneficial in ad-vising investment recommendation. The model also </w:t>
      </w:r>
      <w:proofErr w:type="gramStart"/>
      <w:r w:rsidR="00C072F1" w:rsidRPr="00C072F1">
        <w:rPr>
          <w:rFonts w:ascii="Arial" w:hAnsi="Arial" w:cs="Arial"/>
          <w:sz w:val="20"/>
          <w:szCs w:val="20"/>
        </w:rPr>
        <w:t>present</w:t>
      </w:r>
      <w:proofErr w:type="gramEnd"/>
      <w:r w:rsidR="00C072F1" w:rsidRPr="00C072F1">
        <w:rPr>
          <w:rFonts w:ascii="Arial" w:hAnsi="Arial" w:cs="Arial"/>
          <w:sz w:val="20"/>
          <w:szCs w:val="20"/>
        </w:rPr>
        <w:t xml:space="preserve"> strong predictive capabilities and explanatory. This study highlights the valuable insight for fintech providers for improving functionality and effectiveness of robo-advisor platforms to increase the users rate adoption. For researchers, this study en-riches the existing literature by offering evidence on key factors that determine robo-advisor adoption.</w:t>
      </w:r>
    </w:p>
    <w:p w14:paraId="20D00E4B" w14:textId="77777777" w:rsidR="008A2BE4" w:rsidRDefault="008A2BE4" w:rsidP="00A51969">
      <w:pPr>
        <w:spacing w:after="0" w:line="240" w:lineRule="auto"/>
        <w:jc w:val="both"/>
        <w:rPr>
          <w:rFonts w:ascii="Arial" w:hAnsi="Arial" w:cs="Arial"/>
          <w:sz w:val="20"/>
          <w:szCs w:val="20"/>
        </w:rPr>
      </w:pPr>
    </w:p>
    <w:p w14:paraId="6280A6B4" w14:textId="188AD312"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Aileen Salvia, Alyayola Talman, Julie Amanda, Jocelyn Kesuma and Linda Wedari. The Effect of AI-Based Robo Advisor on Investment Decision Making Among Retailer Investors</w:t>
      </w:r>
    </w:p>
    <w:p w14:paraId="7C882559" w14:textId="5018686A"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rise of investors in Indonesia has boosted the use of digital technology in investing, like AI-based robo-advisors. These platforms give automated recommendations for investments, assess risks, and manage portfolio to make more informed decisions. This study aims how robo-advisors affect decision-making for retail investors. Specifically, this research looks at two key aspects of robo-advisors: technology perception and technological capability. Based on behavioral finance, this study looks at how automated tools mitigate human limitations, such as bounded rationality, information constraints, and cognitive errors driven by prospect theory. Data collected from a questionnaire sent out to retail investors using robo-advisors, which got 450 valid responses. The study shows that investors have positive views on robo-advisors’ ease of use and how useful they are. Overall, the findings suggest that robo-advisors lead to tidier, more logical, and data backed investment moves. By showing these effects, the study adds to financial technology and behavioral finance by offering empirical proof of how AI optimizes retail investment decisions in an emerging market.</w:t>
      </w:r>
    </w:p>
    <w:p w14:paraId="02552C22" w14:textId="77777777" w:rsidR="008A2BE4" w:rsidRDefault="008A2BE4" w:rsidP="00A51969">
      <w:pPr>
        <w:spacing w:after="0" w:line="240" w:lineRule="auto"/>
        <w:jc w:val="both"/>
        <w:rPr>
          <w:rFonts w:ascii="Arial" w:hAnsi="Arial" w:cs="Arial"/>
          <w:sz w:val="20"/>
          <w:szCs w:val="20"/>
        </w:rPr>
      </w:pPr>
    </w:p>
    <w:p w14:paraId="0E0DBEFF" w14:textId="2BB9649A"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Brandon Edmund Haranata. The Role of Digital Transformation in Mitigating Tax Aggressiveness in Energy and Industrial Companies</w:t>
      </w:r>
    </w:p>
    <w:p w14:paraId="4064F342" w14:textId="37FF8088"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purpose of this research is to study the role of digital transformation in reducing tax aggressiveness in energy and industrial sector companies listed on the Indonesia Stock Exchange for 2021-2025. Tax aggressiveness is measured by the Effective Tax Rate (ETR), where higher ETR values indicate lower levels of tax aggressiveness. Digital transformation, as proxied by AIKeywordLN, indicates the number of occurrences of keywords associated with Artificial Intelligence and digital transformation in annual reports and sustainability reports. The study includes leverage, profitability and capital intensity as control variables as well. This research employs a purposive sampling technique in which the study obtained 173 observations of 38 companies from the initial data selection and outlier processing stages. The Random Effects Model with standard errors clustered at the firm level was used to analyze the panel data. The results indicate that the moderated variable AIKeywordLN positively and significantly affects ETR. More specifically, it implies that firms with a greater intention for disclosure on digital transformation tend to exhibit less tax aggressiveness. In addition, the analysis of subsamples shows that digital transformation has an increased effect on ETR when profitability is above the median level. This finding provides support for the Agency Theory and Slippery Slope Framework, which argue that digital transformation can lead to increased transparency, internal control, decrease in information asymmetry and ultimately improved tax compliance.</w:t>
      </w:r>
    </w:p>
    <w:p w14:paraId="5DD0BB96" w14:textId="77777777" w:rsidR="008A2BE4" w:rsidRDefault="008A2BE4" w:rsidP="00A51969">
      <w:pPr>
        <w:spacing w:after="0" w:line="240" w:lineRule="auto"/>
        <w:jc w:val="both"/>
        <w:rPr>
          <w:rFonts w:ascii="Arial" w:hAnsi="Arial" w:cs="Arial"/>
          <w:sz w:val="20"/>
          <w:szCs w:val="20"/>
        </w:rPr>
      </w:pPr>
    </w:p>
    <w:p w14:paraId="7BD514C6" w14:textId="4AD16306"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Santiena Prudence, Erwin Halim and Bambang Leo Handoko. From Fans to Victims: How Important Is Financial Literacy for Concert Ticket Cybercrime Victims?</w:t>
      </w:r>
    </w:p>
    <w:p w14:paraId="388ADC0D" w14:textId="7C93623D"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paper assesses behavioral factors related to fraud victimization among consumers purchasing concert tickets through social media platforms by applying Theory of Planned Behavior (TPB) framework. The increasing number of ticket scams and transactions with unverified sellers has heightened fraud risks for consumers. This preliminary study integrates Partial Least Squares Structural Equation Modeling (PLS-SEM) and a Design Science Research (DSR)-inspired artifact design approach. Data was gathered using an online questionnaire, yielding 88 responses, of which 50 valid responses from individuals who had experienced concert ticket fraud were analyzed using SmartPLS 4. The findings show that financial literacy significantly influences vigilance, while vigilance, cybercrime, purchase intention, and purchase behavior significantly affect fraud </w:t>
      </w:r>
      <w:r w:rsidR="00C072F1" w:rsidRPr="00C072F1">
        <w:rPr>
          <w:rFonts w:ascii="Arial" w:hAnsi="Arial" w:cs="Arial"/>
          <w:sz w:val="20"/>
          <w:szCs w:val="20"/>
        </w:rPr>
        <w:lastRenderedPageBreak/>
        <w:t>victimization. Based on these findings, this study proposes a conceptual fraud-prevention workflow integrating fraud detection, warning notifications, and vigilance-support mechanisms to promote safer online ticket transactions.</w:t>
      </w:r>
    </w:p>
    <w:p w14:paraId="0AADDBAE" w14:textId="77777777" w:rsidR="008A2BE4" w:rsidRDefault="008A2BE4" w:rsidP="00A51969">
      <w:pPr>
        <w:spacing w:after="0" w:line="240" w:lineRule="auto"/>
        <w:jc w:val="both"/>
        <w:rPr>
          <w:rFonts w:ascii="Arial" w:hAnsi="Arial" w:cs="Arial"/>
          <w:sz w:val="20"/>
          <w:szCs w:val="20"/>
        </w:rPr>
      </w:pPr>
    </w:p>
    <w:p w14:paraId="4228BCC2" w14:textId="3EC79BB9"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Irma Novianty Munte, Erwin Halim and Bambang Leo Handoko. Why Do We Shop Unconsciously? Exploring Parasocial Relationships with Micro-Influencers and FoMO on Social Media</w:t>
      </w:r>
    </w:p>
    <w:p w14:paraId="2FDE36BE" w14:textId="77ACB1AC"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rapid rise of social media influencer marketing, particularly on platforms like TikTok, has had a massive influence on consumer buying behaviors through psychological elements such as parasocial relationships, perceived authenticity, and fear of missing out (FoMO). This preliminary study adopts a combination of SmartPLS-SEM and Design Science Research to investigate the effect of micro-influencer content on online impulse buying behavior by involving 42 social media users in the Indonesia region using purposive sampling. The study consists of 7 variables, 35 indicators, and 7 hypotheses. Data were collected through an online survey conducted in May 2026. This study proposes a digital intervention system, represented through flowchart and use case designs, to increase awareness of persuasive tactics in influencer content and help reduce impulsive consumption behavior in the digital marketing era.</w:t>
      </w:r>
    </w:p>
    <w:p w14:paraId="64AC3DB1" w14:textId="77777777" w:rsidR="008A2BE4" w:rsidRDefault="008A2BE4" w:rsidP="00A51969">
      <w:pPr>
        <w:spacing w:after="0" w:line="240" w:lineRule="auto"/>
        <w:jc w:val="both"/>
        <w:rPr>
          <w:rFonts w:ascii="Arial" w:hAnsi="Arial" w:cs="Arial"/>
          <w:sz w:val="20"/>
          <w:szCs w:val="20"/>
        </w:rPr>
      </w:pPr>
    </w:p>
    <w:p w14:paraId="7AE6EFCF" w14:textId="08D4BEE6"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William Cundana, Erwin Halim and Linda Kusumaning Wedari. Analyzing Impulsive Buying and Risky Indebtedness Behavior in The Use of Buy Now Pay Later (BNPL) Services</w:t>
      </w:r>
    </w:p>
    <w:p w14:paraId="088AE1C5" w14:textId="3ADFDB66"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preliminary study examines the influence of various factors on the intention to use Pay Later services and their relationship with risky indebtedness behav-ior. The study adopts a mixed-method approach by integrating Partial Least Squares Structural Equation Modeling (PLS-SEM) and Design Science Research (DSR). Data was collected in May 2026 through an online survey distributed via Google Forms to respondents that have used BNPL or Pay later with 45 valid responses analyzed using SmartPLS4. The data was collected using purposive sampling from pay later users. The findings reveal that perceived risk signifi-cantly affects risky indebtedness behavior, perceived trust, and self-control. Per-ceived trust, self-control, and risky indebtedness behavior were also found to significantly influence users’ intention to adopt BNPL services. In addition, self-control significantly affects impulsive buying behavior, while impulsive buying and intention to adopt BNPL significantly influence financial wellbeing. The study further proposes an AI-driven artifact designed to improve responsible lending decisions through behavioral credit scoring, and financial risk monitoring. This research contributes to the understanding of behavioral and psychological fac-tors affecting BNPL adoption and highlights the importance of financial risk governance in digital payment ecosystems.</w:t>
      </w:r>
    </w:p>
    <w:p w14:paraId="56A7D17D" w14:textId="77777777" w:rsidR="009E7638" w:rsidRDefault="009E7638" w:rsidP="00A51969">
      <w:pPr>
        <w:spacing w:after="0" w:line="240" w:lineRule="auto"/>
        <w:jc w:val="both"/>
        <w:rPr>
          <w:rFonts w:ascii="Arial" w:hAnsi="Arial" w:cs="Arial"/>
          <w:sz w:val="20"/>
          <w:szCs w:val="20"/>
        </w:rPr>
      </w:pPr>
    </w:p>
    <w:p w14:paraId="530408EC" w14:textId="01E2035E"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Nurul Azlin Liyana and Muhammad Helmi Norman. Reframing Programming Education in the Age of Generative AI: A Critical Review of Pedagogy, Equity, Ethics, and Institutional Readiness</w:t>
      </w:r>
    </w:p>
    <w:p w14:paraId="1407465B" w14:textId="043BD77F"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Generative artificial intelligence tools, including ChatGPT and GitHub Copilot, are increasingly</w:t>
      </w:r>
      <w:r w:rsidR="00596306">
        <w:rPr>
          <w:rFonts w:ascii="Arial" w:hAnsi="Arial" w:cs="Arial"/>
          <w:sz w:val="20"/>
          <w:szCs w:val="20"/>
        </w:rPr>
        <w:t xml:space="preserve"> </w:t>
      </w:r>
      <w:r w:rsidR="00C072F1" w:rsidRPr="00C072F1">
        <w:rPr>
          <w:rFonts w:ascii="Arial" w:hAnsi="Arial" w:cs="Arial"/>
          <w:sz w:val="20"/>
          <w:szCs w:val="20"/>
        </w:rPr>
        <w:t>influencing the teaching and learning of programming in higher education. Although these tools can</w:t>
      </w:r>
      <w:r w:rsidR="00596306">
        <w:rPr>
          <w:rFonts w:ascii="Arial" w:hAnsi="Arial" w:cs="Arial"/>
          <w:sz w:val="20"/>
          <w:szCs w:val="20"/>
        </w:rPr>
        <w:t xml:space="preserve"> </w:t>
      </w:r>
      <w:r w:rsidR="00C072F1" w:rsidRPr="00C072F1">
        <w:rPr>
          <w:rFonts w:ascii="Arial" w:hAnsi="Arial" w:cs="Arial"/>
          <w:sz w:val="20"/>
          <w:szCs w:val="20"/>
        </w:rPr>
        <w:t>support code generation, debugging, personalised feedback, and differentiated learning, their</w:t>
      </w:r>
      <w:r w:rsidR="00596306">
        <w:rPr>
          <w:rFonts w:ascii="Arial" w:hAnsi="Arial" w:cs="Arial"/>
          <w:sz w:val="20"/>
          <w:szCs w:val="20"/>
        </w:rPr>
        <w:t xml:space="preserve"> </w:t>
      </w:r>
      <w:r w:rsidR="00C072F1" w:rsidRPr="00C072F1">
        <w:rPr>
          <w:rFonts w:ascii="Arial" w:hAnsi="Arial" w:cs="Arial"/>
          <w:sz w:val="20"/>
          <w:szCs w:val="20"/>
        </w:rPr>
        <w:t>educational value depends largely on how they are introduced and governed within institutions. This</w:t>
      </w:r>
      <w:r w:rsidR="00596306">
        <w:rPr>
          <w:rFonts w:ascii="Arial" w:hAnsi="Arial" w:cs="Arial"/>
          <w:sz w:val="20"/>
          <w:szCs w:val="20"/>
        </w:rPr>
        <w:t xml:space="preserve"> </w:t>
      </w:r>
      <w:r w:rsidR="00C072F1" w:rsidRPr="00C072F1">
        <w:rPr>
          <w:rFonts w:ascii="Arial" w:hAnsi="Arial" w:cs="Arial"/>
          <w:sz w:val="20"/>
          <w:szCs w:val="20"/>
        </w:rPr>
        <w:t>critical review synthesises findings from 27 selected studies identified through Scopus,</w:t>
      </w:r>
      <w:r w:rsidR="00596306">
        <w:rPr>
          <w:rFonts w:ascii="Arial" w:hAnsi="Arial" w:cs="Arial"/>
          <w:sz w:val="20"/>
          <w:szCs w:val="20"/>
        </w:rPr>
        <w:t xml:space="preserve"> </w:t>
      </w:r>
      <w:r w:rsidR="00C072F1" w:rsidRPr="00C072F1">
        <w:rPr>
          <w:rFonts w:ascii="Arial" w:hAnsi="Arial" w:cs="Arial"/>
          <w:sz w:val="20"/>
          <w:szCs w:val="20"/>
        </w:rPr>
        <w:t>ScienceDirect, SpringerLink, and IEEE Xplore. Braun and Clarke’s six-phase thematic analysis was</w:t>
      </w:r>
      <w:r w:rsidR="00596306">
        <w:rPr>
          <w:rFonts w:ascii="Arial" w:hAnsi="Arial" w:cs="Arial"/>
          <w:sz w:val="20"/>
          <w:szCs w:val="20"/>
        </w:rPr>
        <w:t xml:space="preserve"> </w:t>
      </w:r>
      <w:r w:rsidR="00C072F1" w:rsidRPr="00C072F1">
        <w:rPr>
          <w:rFonts w:ascii="Arial" w:hAnsi="Arial" w:cs="Arial"/>
          <w:sz w:val="20"/>
          <w:szCs w:val="20"/>
        </w:rPr>
        <w:t>used to examine recurring issues across the selected literature. Four interrelated themes emerged:</w:t>
      </w:r>
      <w:r w:rsidR="00596306">
        <w:rPr>
          <w:rFonts w:ascii="Arial" w:hAnsi="Arial" w:cs="Arial"/>
          <w:sz w:val="20"/>
          <w:szCs w:val="20"/>
        </w:rPr>
        <w:t xml:space="preserve"> </w:t>
      </w:r>
      <w:r w:rsidR="00C072F1" w:rsidRPr="00C072F1">
        <w:rPr>
          <w:rFonts w:ascii="Arial" w:hAnsi="Arial" w:cs="Arial"/>
          <w:sz w:val="20"/>
          <w:szCs w:val="20"/>
        </w:rPr>
        <w:t>pedagogical adaptation, digital equity and infrastructure, academic integrity, and educator agency.</w:t>
      </w:r>
      <w:r w:rsidR="00596306">
        <w:rPr>
          <w:rFonts w:ascii="Arial" w:hAnsi="Arial" w:cs="Arial"/>
          <w:sz w:val="20"/>
          <w:szCs w:val="20"/>
        </w:rPr>
        <w:t xml:space="preserve"> </w:t>
      </w:r>
      <w:r w:rsidR="00C072F1" w:rsidRPr="00C072F1">
        <w:rPr>
          <w:rFonts w:ascii="Arial" w:hAnsi="Arial" w:cs="Arial"/>
          <w:sz w:val="20"/>
          <w:szCs w:val="20"/>
        </w:rPr>
        <w:t>The findings suggest that meaningful AI integration requires more than access to advanced</w:t>
      </w:r>
      <w:r w:rsidR="00596306">
        <w:rPr>
          <w:rFonts w:ascii="Arial" w:hAnsi="Arial" w:cs="Arial"/>
          <w:sz w:val="20"/>
          <w:szCs w:val="20"/>
        </w:rPr>
        <w:t xml:space="preserve"> </w:t>
      </w:r>
      <w:r w:rsidR="00C072F1" w:rsidRPr="00C072F1">
        <w:rPr>
          <w:rFonts w:ascii="Arial" w:hAnsi="Arial" w:cs="Arial"/>
          <w:sz w:val="20"/>
          <w:szCs w:val="20"/>
        </w:rPr>
        <w:t>technologies. Educators also need institutional support, clear guidance on responsible AI use, and</w:t>
      </w:r>
      <w:r w:rsidR="00596306">
        <w:rPr>
          <w:rFonts w:ascii="Arial" w:hAnsi="Arial" w:cs="Arial"/>
          <w:sz w:val="20"/>
          <w:szCs w:val="20"/>
        </w:rPr>
        <w:t xml:space="preserve"> </w:t>
      </w:r>
      <w:r w:rsidR="00C072F1" w:rsidRPr="00C072F1">
        <w:rPr>
          <w:rFonts w:ascii="Arial" w:hAnsi="Arial" w:cs="Arial"/>
          <w:sz w:val="20"/>
          <w:szCs w:val="20"/>
        </w:rPr>
        <w:t>professional development that enables them to evaluate AI-generated outputs and redesign learning</w:t>
      </w:r>
      <w:r w:rsidR="00596306">
        <w:rPr>
          <w:rFonts w:ascii="Arial" w:hAnsi="Arial" w:cs="Arial"/>
          <w:sz w:val="20"/>
          <w:szCs w:val="20"/>
        </w:rPr>
        <w:t xml:space="preserve"> </w:t>
      </w:r>
      <w:r w:rsidR="00C072F1" w:rsidRPr="00C072F1">
        <w:rPr>
          <w:rFonts w:ascii="Arial" w:hAnsi="Arial" w:cs="Arial"/>
          <w:sz w:val="20"/>
          <w:szCs w:val="20"/>
        </w:rPr>
        <w:t>activities and assessments. The review further highlights inequalities between well-resourced and</w:t>
      </w:r>
      <w:r w:rsidR="00596306">
        <w:rPr>
          <w:rFonts w:ascii="Arial" w:hAnsi="Arial" w:cs="Arial"/>
          <w:sz w:val="20"/>
          <w:szCs w:val="20"/>
        </w:rPr>
        <w:t xml:space="preserve"> </w:t>
      </w:r>
      <w:r w:rsidR="00C072F1" w:rsidRPr="00C072F1">
        <w:rPr>
          <w:rFonts w:ascii="Arial" w:hAnsi="Arial" w:cs="Arial"/>
          <w:sz w:val="20"/>
          <w:szCs w:val="20"/>
        </w:rPr>
        <w:t>under-resourced institutions, particularly in Southeast Asian contexts, where limited infrastructure,</w:t>
      </w:r>
      <w:r w:rsidR="00596306">
        <w:rPr>
          <w:rFonts w:ascii="Arial" w:hAnsi="Arial" w:cs="Arial"/>
          <w:sz w:val="20"/>
          <w:szCs w:val="20"/>
        </w:rPr>
        <w:t xml:space="preserve"> </w:t>
      </w:r>
      <w:r w:rsidR="00C072F1" w:rsidRPr="00C072F1">
        <w:rPr>
          <w:rFonts w:ascii="Arial" w:hAnsi="Arial" w:cs="Arial"/>
          <w:sz w:val="20"/>
          <w:szCs w:val="20"/>
        </w:rPr>
        <w:t>funding, and policy support may restrict equitable access to AI-enhanced learning. A conceptual</w:t>
      </w:r>
      <w:r w:rsidR="00596306">
        <w:rPr>
          <w:rFonts w:ascii="Arial" w:hAnsi="Arial" w:cs="Arial"/>
          <w:sz w:val="20"/>
          <w:szCs w:val="20"/>
        </w:rPr>
        <w:t xml:space="preserve"> </w:t>
      </w:r>
      <w:r w:rsidR="00C072F1" w:rsidRPr="00C072F1">
        <w:rPr>
          <w:rFonts w:ascii="Arial" w:hAnsi="Arial" w:cs="Arial"/>
          <w:sz w:val="20"/>
          <w:szCs w:val="20"/>
        </w:rPr>
        <w:t>framework is proposed to illustrate how pedagogical practice, ethical governance, educator</w:t>
      </w:r>
      <w:r w:rsidR="00596306">
        <w:rPr>
          <w:rFonts w:ascii="Arial" w:hAnsi="Arial" w:cs="Arial"/>
          <w:sz w:val="20"/>
          <w:szCs w:val="20"/>
        </w:rPr>
        <w:t xml:space="preserve"> </w:t>
      </w:r>
      <w:r w:rsidR="00C072F1" w:rsidRPr="00C072F1">
        <w:rPr>
          <w:rFonts w:ascii="Arial" w:hAnsi="Arial" w:cs="Arial"/>
          <w:sz w:val="20"/>
          <w:szCs w:val="20"/>
        </w:rPr>
        <w:t>autonomy, and digital equity interact within the broader context of institutional readiness. The</w:t>
      </w:r>
      <w:r w:rsidR="00596306">
        <w:rPr>
          <w:rFonts w:ascii="Arial" w:hAnsi="Arial" w:cs="Arial"/>
          <w:sz w:val="20"/>
          <w:szCs w:val="20"/>
        </w:rPr>
        <w:t xml:space="preserve"> </w:t>
      </w:r>
      <w:r w:rsidR="00C072F1" w:rsidRPr="00C072F1">
        <w:rPr>
          <w:rFonts w:ascii="Arial" w:hAnsi="Arial" w:cs="Arial"/>
          <w:sz w:val="20"/>
          <w:szCs w:val="20"/>
        </w:rPr>
        <w:t>review concludes that sustainable AI integration in programming education requires coordinated</w:t>
      </w:r>
      <w:r w:rsidR="00596306">
        <w:rPr>
          <w:rFonts w:ascii="Arial" w:hAnsi="Arial" w:cs="Arial"/>
          <w:sz w:val="20"/>
          <w:szCs w:val="20"/>
        </w:rPr>
        <w:t xml:space="preserve"> </w:t>
      </w:r>
      <w:r w:rsidR="00C072F1" w:rsidRPr="00C072F1">
        <w:rPr>
          <w:rFonts w:ascii="Arial" w:hAnsi="Arial" w:cs="Arial"/>
          <w:sz w:val="20"/>
          <w:szCs w:val="20"/>
        </w:rPr>
        <w:t>institutional policies, targeted professional development, equitable access to digital resources, and</w:t>
      </w:r>
      <w:r w:rsidR="00596306">
        <w:rPr>
          <w:rFonts w:ascii="Arial" w:hAnsi="Arial" w:cs="Arial"/>
          <w:sz w:val="20"/>
          <w:szCs w:val="20"/>
        </w:rPr>
        <w:t xml:space="preserve"> </w:t>
      </w:r>
      <w:r w:rsidR="00C072F1" w:rsidRPr="00C072F1">
        <w:rPr>
          <w:rFonts w:ascii="Arial" w:hAnsi="Arial" w:cs="Arial"/>
          <w:sz w:val="20"/>
          <w:szCs w:val="20"/>
        </w:rPr>
        <w:t>an approach that positions AI as a support for learning rather than a replacement for human</w:t>
      </w:r>
      <w:r w:rsidR="00596306">
        <w:rPr>
          <w:rFonts w:ascii="Arial" w:hAnsi="Arial" w:cs="Arial"/>
          <w:sz w:val="20"/>
          <w:szCs w:val="20"/>
        </w:rPr>
        <w:t xml:space="preserve"> </w:t>
      </w:r>
      <w:r w:rsidR="00C072F1" w:rsidRPr="00C072F1">
        <w:rPr>
          <w:rFonts w:ascii="Arial" w:hAnsi="Arial" w:cs="Arial"/>
          <w:sz w:val="20"/>
          <w:szCs w:val="20"/>
        </w:rPr>
        <w:t>judgement. These findings offer practical implications for educators, curriculum designers,</w:t>
      </w:r>
      <w:r w:rsidR="00596306">
        <w:rPr>
          <w:rFonts w:ascii="Arial" w:hAnsi="Arial" w:cs="Arial"/>
          <w:sz w:val="20"/>
          <w:szCs w:val="20"/>
        </w:rPr>
        <w:t xml:space="preserve"> </w:t>
      </w:r>
      <w:r w:rsidR="00C072F1" w:rsidRPr="00C072F1">
        <w:rPr>
          <w:rFonts w:ascii="Arial" w:hAnsi="Arial" w:cs="Arial"/>
          <w:sz w:val="20"/>
          <w:szCs w:val="20"/>
        </w:rPr>
        <w:t>institutional leaders, and researchers concerned with responsible AI adoption in higher education.</w:t>
      </w:r>
    </w:p>
    <w:p w14:paraId="186E8CC3" w14:textId="77777777" w:rsidR="00596306" w:rsidRDefault="00596306" w:rsidP="00A51969">
      <w:pPr>
        <w:spacing w:after="0" w:line="240" w:lineRule="auto"/>
        <w:jc w:val="both"/>
        <w:rPr>
          <w:rFonts w:ascii="Arial" w:hAnsi="Arial" w:cs="Arial"/>
          <w:sz w:val="20"/>
          <w:szCs w:val="20"/>
        </w:rPr>
      </w:pPr>
    </w:p>
    <w:p w14:paraId="7622C521" w14:textId="57A2B7B5"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Nicholas Thenoch and Abiyu Firman. When Informed Capital Exits, Do Stock Prices Continue to Rise? The Role of Retail Investor Herding in Price Formation in the Indonesian Stock Market</w:t>
      </w:r>
    </w:p>
    <w:p w14:paraId="372049CE" w14:textId="1704211D"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investigates how concentrated foreign capital exits affect the short-run price</w:t>
      </w:r>
      <w:r w:rsidR="00596306">
        <w:rPr>
          <w:rFonts w:ascii="Arial" w:hAnsi="Arial" w:cs="Arial"/>
          <w:sz w:val="20"/>
          <w:szCs w:val="20"/>
        </w:rPr>
        <w:t xml:space="preserve"> </w:t>
      </w:r>
      <w:r w:rsidR="00C072F1" w:rsidRPr="00C072F1">
        <w:rPr>
          <w:rFonts w:ascii="Arial" w:hAnsi="Arial" w:cs="Arial"/>
          <w:sz w:val="20"/>
          <w:szCs w:val="20"/>
        </w:rPr>
        <w:t>path of large-capitalisation Indonesian equities, and whether that response changed as</w:t>
      </w:r>
      <w:r w:rsidR="00596306">
        <w:rPr>
          <w:rFonts w:ascii="Arial" w:hAnsi="Arial" w:cs="Arial"/>
          <w:sz w:val="20"/>
          <w:szCs w:val="20"/>
        </w:rPr>
        <w:t xml:space="preserve"> </w:t>
      </w:r>
      <w:r w:rsidR="00C072F1" w:rsidRPr="00C072F1">
        <w:rPr>
          <w:rFonts w:ascii="Arial" w:hAnsi="Arial" w:cs="Arial"/>
          <w:sz w:val="20"/>
          <w:szCs w:val="20"/>
        </w:rPr>
        <w:t>domestic participation expanded after 2021. The study uses daily stock-day data for</w:t>
      </w:r>
      <w:r w:rsidR="00596306">
        <w:rPr>
          <w:rFonts w:ascii="Arial" w:hAnsi="Arial" w:cs="Arial"/>
          <w:sz w:val="20"/>
          <w:szCs w:val="20"/>
        </w:rPr>
        <w:t xml:space="preserve"> </w:t>
      </w:r>
      <w:r w:rsidR="00C072F1" w:rsidRPr="00C072F1">
        <w:rPr>
          <w:rFonts w:ascii="Arial" w:hAnsi="Arial" w:cs="Arial"/>
          <w:sz w:val="20"/>
          <w:szCs w:val="20"/>
        </w:rPr>
        <w:t>seventeen large-capitalization Indonesia stock market constituents continuously traded</w:t>
      </w:r>
      <w:r w:rsidR="00596306">
        <w:rPr>
          <w:rFonts w:ascii="Arial" w:hAnsi="Arial" w:cs="Arial"/>
          <w:sz w:val="20"/>
          <w:szCs w:val="20"/>
        </w:rPr>
        <w:t xml:space="preserve"> </w:t>
      </w:r>
      <w:r w:rsidR="00C072F1" w:rsidRPr="00C072F1">
        <w:rPr>
          <w:rFonts w:ascii="Arial" w:hAnsi="Arial" w:cs="Arial"/>
          <w:sz w:val="20"/>
          <w:szCs w:val="20"/>
        </w:rPr>
        <w:t xml:space="preserve">over the sample period, we estimate with a fixed-effects model (FEM): each </w:t>
      </w:r>
      <w:r w:rsidR="00C072F1" w:rsidRPr="00C072F1">
        <w:rPr>
          <w:rFonts w:ascii="Arial" w:hAnsi="Arial" w:cs="Arial"/>
          <w:sz w:val="20"/>
          <w:szCs w:val="20"/>
        </w:rPr>
        <w:lastRenderedPageBreak/>
        <w:t>stock</w:t>
      </w:r>
      <w:r w:rsidR="00596306">
        <w:rPr>
          <w:rFonts w:ascii="Arial" w:hAnsi="Arial" w:cs="Arial"/>
          <w:sz w:val="20"/>
          <w:szCs w:val="20"/>
        </w:rPr>
        <w:t xml:space="preserve"> </w:t>
      </w:r>
      <w:r w:rsidR="00C072F1" w:rsidRPr="00C072F1">
        <w:rPr>
          <w:rFonts w:ascii="Arial" w:hAnsi="Arial" w:cs="Arial"/>
          <w:sz w:val="20"/>
          <w:szCs w:val="20"/>
        </w:rPr>
        <w:t>receives its own intercept, absorbing the stable unobserved characteristics of that stock</w:t>
      </w:r>
      <w:r w:rsidR="00596306">
        <w:rPr>
          <w:rFonts w:ascii="Arial" w:hAnsi="Arial" w:cs="Arial"/>
          <w:sz w:val="20"/>
          <w:szCs w:val="20"/>
        </w:rPr>
        <w:t xml:space="preserve"> </w:t>
      </w:r>
      <w:r w:rsidR="00C072F1" w:rsidRPr="00C072F1">
        <w:rPr>
          <w:rFonts w:ascii="Arial" w:hAnsi="Arial" w:cs="Arial"/>
          <w:sz w:val="20"/>
          <w:szCs w:val="20"/>
        </w:rPr>
        <w:t>sector, typical liquidity, ownership, and accounting practice so that effects are</w:t>
      </w:r>
      <w:r w:rsidR="00596306">
        <w:rPr>
          <w:rFonts w:ascii="Arial" w:hAnsi="Arial" w:cs="Arial"/>
          <w:sz w:val="20"/>
          <w:szCs w:val="20"/>
        </w:rPr>
        <w:t xml:space="preserve"> </w:t>
      </w:r>
      <w:r w:rsidR="00C072F1" w:rsidRPr="00C072F1">
        <w:rPr>
          <w:rFonts w:ascii="Arial" w:hAnsi="Arial" w:cs="Arial"/>
          <w:sz w:val="20"/>
          <w:szCs w:val="20"/>
        </w:rPr>
        <w:t>identified from variation within each stock over time. Using 241 cleanly identified</w:t>
      </w:r>
      <w:r w:rsidR="00596306">
        <w:rPr>
          <w:rFonts w:ascii="Arial" w:hAnsi="Arial" w:cs="Arial"/>
          <w:sz w:val="20"/>
          <w:szCs w:val="20"/>
        </w:rPr>
        <w:t xml:space="preserve"> </w:t>
      </w:r>
      <w:r w:rsidR="00C072F1" w:rsidRPr="00C072F1">
        <w:rPr>
          <w:rFonts w:ascii="Arial" w:hAnsi="Arial" w:cs="Arial"/>
          <w:sz w:val="20"/>
          <w:szCs w:val="20"/>
        </w:rPr>
        <w:t>events over 2019–2026, we find that foreign capital exits do impose a real and</w:t>
      </w:r>
      <w:r w:rsidR="00596306">
        <w:rPr>
          <w:rFonts w:ascii="Arial" w:hAnsi="Arial" w:cs="Arial"/>
          <w:sz w:val="20"/>
          <w:szCs w:val="20"/>
        </w:rPr>
        <w:t xml:space="preserve"> </w:t>
      </w:r>
      <w:r w:rsidR="00C072F1" w:rsidRPr="00C072F1">
        <w:rPr>
          <w:rFonts w:ascii="Arial" w:hAnsi="Arial" w:cs="Arial"/>
          <w:sz w:val="20"/>
          <w:szCs w:val="20"/>
        </w:rPr>
        <w:t>economically large price impact, but it is a same-day phenomenon rather than a multiday drift. Event studies that look only at post-event windows would miss it; the impact</w:t>
      </w:r>
      <w:r w:rsidR="00596306">
        <w:rPr>
          <w:rFonts w:ascii="Arial" w:hAnsi="Arial" w:cs="Arial"/>
          <w:sz w:val="20"/>
          <w:szCs w:val="20"/>
        </w:rPr>
        <w:t xml:space="preserve"> </w:t>
      </w:r>
      <w:r w:rsidR="00C072F1" w:rsidRPr="00C072F1">
        <w:rPr>
          <w:rFonts w:ascii="Arial" w:hAnsi="Arial" w:cs="Arial"/>
          <w:sz w:val="20"/>
          <w:szCs w:val="20"/>
        </w:rPr>
        <w:t>is impounded immediately. In the earlier part of the sample this same-day drop was</w:t>
      </w:r>
      <w:r w:rsidR="00596306">
        <w:rPr>
          <w:rFonts w:ascii="Arial" w:hAnsi="Arial" w:cs="Arial"/>
          <w:sz w:val="20"/>
          <w:szCs w:val="20"/>
        </w:rPr>
        <w:t xml:space="preserve"> </w:t>
      </w:r>
      <w:r w:rsidR="00C072F1" w:rsidRPr="00C072F1">
        <w:rPr>
          <w:rFonts w:ascii="Arial" w:hAnsi="Arial" w:cs="Arial"/>
          <w:sz w:val="20"/>
          <w:szCs w:val="20"/>
        </w:rPr>
        <w:t>partly an overreaction: prices recovered by roughly one percentage point over the</w:t>
      </w:r>
      <w:r w:rsidR="00596306">
        <w:rPr>
          <w:rFonts w:ascii="Arial" w:hAnsi="Arial" w:cs="Arial"/>
          <w:sz w:val="20"/>
          <w:szCs w:val="20"/>
        </w:rPr>
        <w:t xml:space="preserve"> </w:t>
      </w:r>
      <w:r w:rsidR="00C072F1" w:rsidRPr="00C072F1">
        <w:rPr>
          <w:rFonts w:ascii="Arial" w:hAnsi="Arial" w:cs="Arial"/>
          <w:sz w:val="20"/>
          <w:szCs w:val="20"/>
        </w:rPr>
        <w:t>following week. The reversal has not grown with domestic participation, it has</w:t>
      </w:r>
      <w:r w:rsidR="00596306">
        <w:rPr>
          <w:rFonts w:ascii="Arial" w:hAnsi="Arial" w:cs="Arial"/>
          <w:sz w:val="20"/>
          <w:szCs w:val="20"/>
        </w:rPr>
        <w:t xml:space="preserve"> </w:t>
      </w:r>
      <w:r w:rsidR="00C072F1" w:rsidRPr="00C072F1">
        <w:rPr>
          <w:rFonts w:ascii="Arial" w:hAnsi="Arial" w:cs="Arial"/>
          <w:sz w:val="20"/>
          <w:szCs w:val="20"/>
        </w:rPr>
        <w:t>disappeared. A coherent interpretation is that as the market has matured and</w:t>
      </w:r>
      <w:r w:rsidR="00596306">
        <w:rPr>
          <w:rFonts w:ascii="Arial" w:hAnsi="Arial" w:cs="Arial"/>
          <w:sz w:val="20"/>
          <w:szCs w:val="20"/>
        </w:rPr>
        <w:t xml:space="preserve"> </w:t>
      </w:r>
      <w:r w:rsidR="00C072F1" w:rsidRPr="00C072F1">
        <w:rPr>
          <w:rFonts w:ascii="Arial" w:hAnsi="Arial" w:cs="Arial"/>
          <w:sz w:val="20"/>
          <w:szCs w:val="20"/>
        </w:rPr>
        <w:t>participation broadened; foreign-selling shocks are no longer systematically overreactions to be faded; instead, the information or pressure they carry is now impounded</w:t>
      </w:r>
      <w:r w:rsidR="00596306">
        <w:rPr>
          <w:rFonts w:ascii="Arial" w:hAnsi="Arial" w:cs="Arial"/>
          <w:sz w:val="20"/>
          <w:szCs w:val="20"/>
        </w:rPr>
        <w:t xml:space="preserve"> </w:t>
      </w:r>
      <w:r w:rsidR="00C072F1" w:rsidRPr="00C072F1">
        <w:rPr>
          <w:rFonts w:ascii="Arial" w:hAnsi="Arial" w:cs="Arial"/>
          <w:sz w:val="20"/>
          <w:szCs w:val="20"/>
        </w:rPr>
        <w:t>more permanently</w:t>
      </w:r>
    </w:p>
    <w:p w14:paraId="7ED07B0F" w14:textId="77777777" w:rsidR="00652930" w:rsidRDefault="00652930" w:rsidP="00A51969">
      <w:pPr>
        <w:spacing w:after="0" w:line="240" w:lineRule="auto"/>
        <w:jc w:val="both"/>
        <w:rPr>
          <w:rFonts w:ascii="Arial" w:hAnsi="Arial" w:cs="Arial"/>
          <w:sz w:val="20"/>
          <w:szCs w:val="20"/>
        </w:rPr>
      </w:pPr>
    </w:p>
    <w:p w14:paraId="6CBC28C4" w14:textId="1B21E810" w:rsidR="00C072F1" w:rsidRPr="00C072F1" w:rsidRDefault="00C072F1" w:rsidP="00A51969">
      <w:pPr>
        <w:spacing w:after="0" w:line="240" w:lineRule="auto"/>
        <w:jc w:val="both"/>
        <w:rPr>
          <w:rFonts w:ascii="Arial" w:hAnsi="Arial" w:cs="Arial"/>
          <w:sz w:val="20"/>
          <w:szCs w:val="20"/>
        </w:rPr>
      </w:pPr>
      <w:r w:rsidRPr="00652930">
        <w:rPr>
          <w:rFonts w:ascii="Arial" w:hAnsi="Arial" w:cs="Arial"/>
          <w:sz w:val="20"/>
          <w:szCs w:val="20"/>
          <w:lang w:val="sv-SE"/>
        </w:rPr>
        <w:t xml:space="preserve">Ananda Ayodhya Novriandany and Linda Kusumaning Wedari. </w:t>
      </w:r>
      <w:r w:rsidRPr="00C072F1">
        <w:rPr>
          <w:rFonts w:ascii="Arial" w:hAnsi="Arial" w:cs="Arial"/>
          <w:sz w:val="20"/>
          <w:szCs w:val="20"/>
        </w:rPr>
        <w:t>Does Artificial Intelligence Adoption and Auditor Competency Matter for Audit Quality? Evidence from Indonesian Construction and Real Estate Sector</w:t>
      </w:r>
    </w:p>
    <w:p w14:paraId="0974EB9B" w14:textId="35E96688"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examines the association between Artificial Intelligence (AI) adoption, auditor competency, and audit quality in Indonesian construction and real estate companies listed on the Indonesia Stock Exchange (IDX) during 2023–2025. Audit quality is measured using Abnormal Working Capital Accruals (AWCA), while AI adoption is proxied by Big Four auditor affiliation. Auditor competency is measured using Signee Audit Experience (SEXP), with Signee Audit Education (SEDU) used as an alternative proxy in the robustness test. This study applies panel data regression using the Random Effect Model (REM) with clustered standard errors on 220 firm-year observations selected through purposive sampling. The results show that AI adoption is significantly associated with AWCA. The positive coefficient indicates that Big Four-audited firms tend to exhibit higher abnormal working capital accruals. Therefore, this finding should not be interpreted as evidence that AI adoption improves audit quality. Rather, it indicates a significant association between audit-firm technological capability and AWCA, whose interpretation requires caution in the construction and real estate sector due to its complex accrual environment, including long project cycles, progress billing, contract assets, and revenue recognition estimates. Meanwhile, this study finds no statistically significant association between auditor competency and AWCA. The robustness test confirms that the findings remain consistent when an alternative competency proxy is applied. This study contributes to the literature on technology adoption in auditing by providing evidence from a high-risk, project-based industry in Indonesia.</w:t>
      </w:r>
    </w:p>
    <w:p w14:paraId="21DC4A7A" w14:textId="77777777" w:rsidR="00652930" w:rsidRDefault="00652930" w:rsidP="00A51969">
      <w:pPr>
        <w:spacing w:after="0" w:line="240" w:lineRule="auto"/>
        <w:jc w:val="both"/>
        <w:rPr>
          <w:rFonts w:ascii="Arial" w:hAnsi="Arial" w:cs="Arial"/>
          <w:sz w:val="20"/>
          <w:szCs w:val="20"/>
        </w:rPr>
      </w:pPr>
    </w:p>
    <w:p w14:paraId="657F4B49" w14:textId="67722AAE"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Razanadi Wicaksono, Jeslyn Golycia and Agustinus Winoto. The Generative AI Paradox: Cognitive Load and Audit Fatigue in Fraud Risk Assessment</w:t>
      </w:r>
    </w:p>
    <w:p w14:paraId="5F780F47" w14:textId="1F7795BB"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challenges the assumption that Generative AI (GenAI) reduces cognitive load by empirically analysing whether the use of GenAI increases, rather than decreases cognitive load among external auditors in data-driven fraud risk assessment, a phenomenon termed the ‘Generative AI Paradox’. A mechanism-based structural model was tested by combining the Technology Acceptance Model (TAM), Cognitive Load Theory (CLT), and Job Demands-Resources (JD-R) model using Partial Least Squares Structural Equation Modelling (PLS-SEM) on data from 264 practising external auditors in Indonesia. Perceived usefulness was the main predictor for GenAI adoption. Contrary to the cognitive offloading assumption, GenAI usage was positively associated with cognitive load. Cognitive load, in turn, was the strongest direct predictor of audit fatigue and fully mediated the GenAI usage-fatigue pathway. Job demands similarly exerted a significant indirect effect on audit fatigue via cognitive load. These findings provide quantitative structural evidence of the Generative AI Paradox in professional auditing, positioning extraneous cognitive load as the central mechanism through which AI adoption amplifies professional strain in fraud risk assessment contexts.</w:t>
      </w:r>
    </w:p>
    <w:p w14:paraId="715F133E" w14:textId="77777777" w:rsidR="00652930" w:rsidRDefault="00652930" w:rsidP="00A51969">
      <w:pPr>
        <w:spacing w:after="0" w:line="240" w:lineRule="auto"/>
        <w:jc w:val="both"/>
        <w:rPr>
          <w:rFonts w:ascii="Arial" w:hAnsi="Arial" w:cs="Arial"/>
          <w:sz w:val="20"/>
          <w:szCs w:val="20"/>
        </w:rPr>
      </w:pPr>
    </w:p>
    <w:p w14:paraId="1BEEF5E1" w14:textId="541CD688"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Bellatris Aprila Luthfianti and Astri Ghina. Challenges and Successes in Digital Transformation: Organizational Readiness and Information Technology Capability in a Logistics Enterprise</w:t>
      </w:r>
    </w:p>
    <w:p w14:paraId="395B7F79" w14:textId="2F340972"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fast-growing digital economy and increased competition in the sector of technology-based logistics services has driven a logistics company to accelerate its digital transformation to maintain competitiveness as a national logistics provider. However, numerous initiatives have yet to result in genuine digital transformation. The current progress continues to revolve around transferring manual procedures into technology-based systems, without incorporating significant business innovation. This study aims to analyze the organization's readiness and information technology (IT) capabilities in supporting its digital transformation as a logistics service provider. An exploratory qualitative single-case study approach is used, based on the interpretivist paradigm and inductive reasoning. Data collection was conducted through six in-depth interviews with informants at the strategic, technical, and operational levels. Four main themes were determined: (1) digitalization process has been thoroughly carried out such that all operations are conducted through an integrated digitalized system, but transformative innovation that generates a new business model has not been achieved, (2) human resources emerged as the most influential factor in the digital transformation process, reflected in the digital competency gap, varying levels of acceptance and adaptation to digital change, and </w:t>
      </w:r>
      <w:r w:rsidR="00C072F1" w:rsidRPr="00C072F1">
        <w:rPr>
          <w:rFonts w:ascii="Arial" w:hAnsi="Arial" w:cs="Arial"/>
          <w:sz w:val="20"/>
          <w:szCs w:val="20"/>
        </w:rPr>
        <w:lastRenderedPageBreak/>
        <w:t>challenges in sustaining knowledge transfer as staff rotation repeatedly takes place, (3) variations of IT capabilities among service units were observed, and (4) a high level of operational integration with digital systems was identified. The research contributes an integrated conceptual framework that connects organizational readiness and IT capabilities in the context of logistics enterprises in Indonesia.</w:t>
      </w:r>
    </w:p>
    <w:p w14:paraId="06B7CC14" w14:textId="77777777" w:rsidR="00652930" w:rsidRPr="0009073A" w:rsidRDefault="00652930" w:rsidP="00A51969">
      <w:pPr>
        <w:spacing w:after="0" w:line="240" w:lineRule="auto"/>
        <w:jc w:val="both"/>
        <w:rPr>
          <w:rFonts w:ascii="Arial" w:hAnsi="Arial" w:cs="Arial"/>
          <w:sz w:val="20"/>
          <w:szCs w:val="20"/>
          <w:lang w:val="en-US"/>
        </w:rPr>
      </w:pPr>
    </w:p>
    <w:p w14:paraId="06360A6B" w14:textId="3A591643"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lang w:val="sv-SE"/>
        </w:rPr>
        <w:t xml:space="preserve">Salsabilla Rinaldi and Siska Noviaristanti. </w:t>
      </w:r>
      <w:r w:rsidRPr="00C072F1">
        <w:rPr>
          <w:rFonts w:ascii="Arial" w:hAnsi="Arial" w:cs="Arial"/>
          <w:sz w:val="20"/>
          <w:szCs w:val="20"/>
        </w:rPr>
        <w:t>Digital Transformation as a Pathway to Creative SME Performance</w:t>
      </w:r>
    </w:p>
    <w:p w14:paraId="623A6CF5" w14:textId="1483BABC"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Creative Micro, Small, and Medium Enterprises (MSMEs) play a strategic role in Indonesia’s digital economy, yet many businesses continue to face challenges in translating digital initiatives into improved performance. This study examines the effects of Investment in Digital Technology, Digital Marketing Strategy, Customer Engagement, and Creative Capability on SME Performance, with Digital Transformation serving as a mediating variable. A quantitative approach was employed using survey data collected from 300 creative MSMEs in West Java, Indonesia. The data were analysed using Partial Least Squares Structural Equation Modelling (PLS-SEM). The findings reveal that Investment in Digital Technology, Digital Marketing Strategy, and Customer Engagement significantly influence Digital Transformation, while both Digital Transformation and Creative Capability positively affect SME Performance. Furthermore, Digital Transformation significantly mediates the relationships between digital-related factors and SME Performance. The study contributes to digital transformation literature by demonstrating the complementary role of technological resources and creative capability in enhancing business performance and competitiveness among creative MSMEs.</w:t>
      </w:r>
    </w:p>
    <w:p w14:paraId="569201BA" w14:textId="77777777" w:rsidR="00652930" w:rsidRDefault="00652930" w:rsidP="00A51969">
      <w:pPr>
        <w:spacing w:after="0" w:line="240" w:lineRule="auto"/>
        <w:jc w:val="both"/>
        <w:rPr>
          <w:rFonts w:ascii="Arial" w:hAnsi="Arial" w:cs="Arial"/>
          <w:sz w:val="20"/>
          <w:szCs w:val="20"/>
        </w:rPr>
      </w:pPr>
    </w:p>
    <w:p w14:paraId="7672D4C8" w14:textId="43E8D722"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Maha Bayado. The Helpless Master: Algorithmic Delegation and the Erosion of Moral Agency</w:t>
      </w:r>
    </w:p>
    <w:p w14:paraId="2E59FE6F" w14:textId="2A725AE6"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conceptual paper draws on Hegel’s Master–Slave dialectic to expose a quiet reversal in the AI-augmented firm. Leaders pose as “Masters,” delegat-ing cognitive labor to algorithms under the illusion of control. However, by outsourcing the friction of sensemaking, relying on sanitized outputs rather than raw reality, they surrender the very struggle through which judgment forms. The algorithmic “Slave,” meanwhile, accumulates embedded compe-tence through relentless processing. The result is cognitive atrophy and moral deskilling. Human leaders become dependent, ceremonial, and increasingly strangers to the logic and ethical weight they enact. This is not efficiency; it is epistemic erosion. When epistemic erosion takes hold, leaders can no longer be held or hold themselves accountable for decisions they merely rubber-stamp. This study employs critical hermeneutics and theoretical syn-thesis to develop a conceptual framework that elucidates the role of algo-rithmic delegation in epistemic erosion and provides five theoretical proposi-tions for subsequent empirical research. To counter this trajectory, this article proposes epistemic resistance: a deliberate return to the unglamorous work of analysis before the prompt. Not rejection of AI, but demotion from oracle to subordinate. Its outputs must be contested, not consumed. The future of leadership will not belong to those who extract answers fastest. It belongs to those who still wrestle with the questions.</w:t>
      </w:r>
    </w:p>
    <w:p w14:paraId="68E8BEB3" w14:textId="77777777" w:rsidR="00652930" w:rsidRDefault="00652930" w:rsidP="00A51969">
      <w:pPr>
        <w:spacing w:after="0" w:line="240" w:lineRule="auto"/>
        <w:jc w:val="both"/>
        <w:rPr>
          <w:rFonts w:ascii="Arial" w:hAnsi="Arial" w:cs="Arial"/>
          <w:sz w:val="20"/>
          <w:szCs w:val="20"/>
        </w:rPr>
      </w:pPr>
    </w:p>
    <w:p w14:paraId="4D82B2E1" w14:textId="45870C1E"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Bonifasius Jason Hendarko, Vincent Junianto and Theresia Lesmana. STOCK MARKET REACTION TO BANK INDONESIA MONETARY POLICY</w:t>
      </w:r>
    </w:p>
    <w:p w14:paraId="2A153150" w14:textId="64CFAAEB"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examines the transmission mechanism of domestic monetary policy developments into the Indonesian capital market by isolating the impact of unexpected interest rate innovations from anticipated policy actions. Utilizing daily macroeconomic and equity data spanning from January 2016 to December 2024, the empirical design operates through a dual-track econometric framework. First, a time-series univariate </w:t>
      </w:r>
      <w:proofErr w:type="gramStart"/>
      <w:r w:rsidR="00C072F1" w:rsidRPr="00C072F1">
        <w:rPr>
          <w:rFonts w:ascii="Arial" w:hAnsi="Arial" w:cs="Arial"/>
          <w:sz w:val="20"/>
          <w:szCs w:val="20"/>
        </w:rPr>
        <w:t>GARCH(</w:t>
      </w:r>
      <w:proofErr w:type="gramEnd"/>
      <w:r w:rsidR="00C072F1" w:rsidRPr="00C072F1">
        <w:rPr>
          <w:rFonts w:ascii="Arial" w:hAnsi="Arial" w:cs="Arial"/>
          <w:sz w:val="20"/>
          <w:szCs w:val="20"/>
        </w:rPr>
        <w:t>1,1) model is specified to measure the continuous impact of quantitative policy surprises on aggregate market returns (Rmt) while controlling for domestic inflation, currency shifts, and global risk sentiments. Second, a short-horizon event study is implemented across a balanced panel of 17,496 cross-sectional observations to capture the behavior of Cumulative Abnormal Returns (CAR) within an asymmetric 9-day relative timeline ([t-3, t+5]) surrounding Bank Indonesia’s rate announcements.</w:t>
      </w:r>
    </w:p>
    <w:p w14:paraId="0A11A029"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 xml:space="preserve">The </w:t>
      </w:r>
      <w:proofErr w:type="gramStart"/>
      <w:r w:rsidRPr="00C072F1">
        <w:rPr>
          <w:rFonts w:ascii="Arial" w:hAnsi="Arial" w:cs="Arial"/>
          <w:sz w:val="20"/>
          <w:szCs w:val="20"/>
        </w:rPr>
        <w:t>GARCH(</w:t>
      </w:r>
      <w:proofErr w:type="gramEnd"/>
      <w:r w:rsidRPr="00C072F1">
        <w:rPr>
          <w:rFonts w:ascii="Arial" w:hAnsi="Arial" w:cs="Arial"/>
          <w:sz w:val="20"/>
          <w:szCs w:val="20"/>
        </w:rPr>
        <w:t>1,1) estimation results show that continuous monetary policy surprises exert a statistically significant negative effect on daily market returns (Rmt) at the 10% significance level (</w:t>
      </w:r>
      <w:r w:rsidRPr="00C072F1">
        <w:rPr>
          <w:rFonts w:ascii="Cambria Math" w:hAnsi="Cambria Math" w:cs="Cambria Math"/>
          <w:sz w:val="20"/>
          <w:szCs w:val="20"/>
        </w:rPr>
        <w:t>𝛼</w:t>
      </w:r>
      <w:r w:rsidRPr="00C072F1">
        <w:rPr>
          <w:rFonts w:ascii="Arial" w:hAnsi="Arial" w:cs="Arial"/>
          <w:sz w:val="20"/>
          <w:szCs w:val="20"/>
        </w:rPr>
        <w:t xml:space="preserve"> = 10%), where an unexpected 100-basis-point target rate hike induces an immediate market correction of approximately 0.20%. Concurrently, global implied volatility (VIX) exhibits a highly significant negative effect on domestic return profiles (p = 0.000), confirming that international fear shocks trigger systematic capital reallocations out of emerging markets. On the short-horizon track, the one-sample t-test indicates a statistically significant positive aggregate mean CAR of +0.25% (t = 5.8386, p = 0.0000) surrounding disclosure windows. However, single-factor ANOVA results reveal that variations in the qualitative direction of rates (Dovish, Neutral, and Hawkish categories) fail to significantly differentiate cross-sectional CAR distributions (F = 2.18, p = 0.1136).</w:t>
      </w:r>
    </w:p>
    <w:p w14:paraId="6139ED0E"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 xml:space="preserve">Combined, these empirical findings provide strong evidence for the market anticipation hypothesis. The Indonesian stock exchange acts as a semi-strong efficient market that processes public rate cycles ahead of time, pricing in anticipated target paths and reacting exclusively to continuous, un-anticipated expectational shocks. These findings emphasize the necessity for institutional fund managers to track consensus forecast </w:t>
      </w:r>
      <w:r w:rsidRPr="00C072F1">
        <w:rPr>
          <w:rFonts w:ascii="Arial" w:hAnsi="Arial" w:cs="Arial"/>
          <w:sz w:val="20"/>
          <w:szCs w:val="20"/>
        </w:rPr>
        <w:lastRenderedPageBreak/>
        <w:t>distributions rather than binary rate choices and highlight the importance of proactive central bank forward guidance to curb unnecessary equity market friction.</w:t>
      </w:r>
    </w:p>
    <w:p w14:paraId="17662ADD" w14:textId="77777777" w:rsidR="00652930" w:rsidRDefault="00652930" w:rsidP="00A51969">
      <w:pPr>
        <w:spacing w:after="0" w:line="240" w:lineRule="auto"/>
        <w:jc w:val="both"/>
        <w:rPr>
          <w:rFonts w:ascii="Arial" w:hAnsi="Arial" w:cs="Arial"/>
          <w:sz w:val="20"/>
          <w:szCs w:val="20"/>
        </w:rPr>
      </w:pPr>
    </w:p>
    <w:p w14:paraId="064819B7" w14:textId="66F67151"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Nazwa Bilbina Aqmar and Agustinus Winoto. Human and Technological Determinants of Investment Instrument Selection: The Moderating Role of Financial Literacy</w:t>
      </w:r>
    </w:p>
    <w:p w14:paraId="170F3CFA" w14:textId="6CC4D0BB"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examines the associations between socioeconomic conditions, religi-osity, risk perception, trust in AI-based investment recommendations, and finan-cial investment instrument selection, with financial literacy serving as a moderat-ing variable. Data were collected from 203 respondents through an online ques-tionnaire and analyzed using Partial Least Squares Structural Equation Modeling (PLS-SEM). The results indicate that socioeconomic conditions, religiosity, risk perception, and trust in AI-based investment recommendations are significantly associated with financial investment instrument selection. Among the examined variables, trust in AI-based investment recommendations showed the largest ef-fect, although its practical effect size remained relatively small. Financial literacy significantly moderates only the relationship between trust in AI-based invest-ment recommendations and financial investment instrument selection, while no significant moderating effects were found for socioeconomic conditions, religi-osity, and risk perception. These findings suggest that financial literacy may en-hance investors' ability to utilize AI-based recommendations more effectively. This study contributes to the literature on investment behavior and AI-assisted fi-nancial decision-making while highlighting the complementary roles of traditional and technological determinants in financial investment instrument selection</w:t>
      </w:r>
    </w:p>
    <w:p w14:paraId="37AC4597" w14:textId="77777777" w:rsidR="00652930" w:rsidRDefault="00652930" w:rsidP="00A51969">
      <w:pPr>
        <w:spacing w:after="0" w:line="240" w:lineRule="auto"/>
        <w:jc w:val="both"/>
        <w:rPr>
          <w:rFonts w:ascii="Arial" w:hAnsi="Arial" w:cs="Arial"/>
          <w:sz w:val="20"/>
          <w:szCs w:val="20"/>
        </w:rPr>
      </w:pPr>
    </w:p>
    <w:p w14:paraId="3EA2FED7" w14:textId="745D3AF9"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Ikhsan Alifsyah Rahman, Abid Tjahya Adaby and Darusalam Darusalam. Accounting for Digital Governance: The Roles of Open Government Data, ICT, Intellectual Capital, and Institutional Quality in Strengthening Control of Corruption—Evidence from ASEAN</w:t>
      </w:r>
    </w:p>
    <w:p w14:paraId="0E17448B" w14:textId="7478C882"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Corruption continues to pose a significant obstacle to good governance and</w:t>
      </w:r>
    </w:p>
    <w:p w14:paraId="2DAD3215"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sustainable development in ASEAN nations. As digital transformation progresses, governments are increasingly dependent on digital governance systems to improve transparency, accountability, and public sector efficacy. This study examines the impact of Open Government Data (OGD), Information and Communication Technology (ICT), Intellectual Capital (InC), and Institutional Quality, indicated by Government Effectiveness (GoE), on the Control of Corruption (CoC) in ASEAN nations. This study utilises balanced panel data with 98 observations and applies the Panel Autoregressive Distributed Lag (Panel ARDL) method to investigate both short-run and long-run relationships among the variables. The empirical findings validate the presence of a stable long-term equilibrium relationship. The Pooled Mean Group (PMG) estimator indicates that Open Government Data significantly improves corruption control in both the short and long term, underscoring the significance of transparency and public access to governmental information in bolstering anti-corruption initiatives. Government Effectiveness has variable outcomes among estimators, indicating that institutional capacity is inadequate without comprehensive governance reforms. Simultaneously, ICT and Intellectual Capital do not demonstrate uniform long-term impacts on corruption control. The results indicate that digital governance projects are most effective when bolstered by robust institutional structures and accountability mechanisms. This study enhances the literature on digital governance and public sector accounting by presenting evidence on the interplay of transparency, technology, knowledge resources, and institutional quality in affecting corruption control in ASEAN nations.</w:t>
      </w:r>
    </w:p>
    <w:p w14:paraId="43D5990C" w14:textId="77777777" w:rsidR="00652930" w:rsidRDefault="00652930" w:rsidP="00A51969">
      <w:pPr>
        <w:spacing w:after="0" w:line="240" w:lineRule="auto"/>
        <w:jc w:val="both"/>
        <w:rPr>
          <w:rFonts w:ascii="Arial" w:hAnsi="Arial" w:cs="Arial"/>
          <w:sz w:val="20"/>
          <w:szCs w:val="20"/>
        </w:rPr>
      </w:pPr>
    </w:p>
    <w:p w14:paraId="68672233" w14:textId="212281AD"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Nathalie Gultom, Nabila Firmansyah, Sherin Jazlin, Syela Kurniawan and Darusalam Darusalam. Analyzing the Effect of Technology Adoption and Firm Size on Indonesian Financial Companies Profitabilities</w:t>
      </w:r>
    </w:p>
    <w:p w14:paraId="5797DECF" w14:textId="1FF95581"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empirically examines the effect of technology adoption and firm size on the profitability of Indonesian financial sector companies listed on the Indonesia Stock Exchange (IDX) during 2021–2025. Although Indonesia’s financial sector is undergoing rapid digital transformation, the financial impact of technology adoption, particularly artificial intelligence (AI), remains underexplored beyond the banking subsector and within emerging market settings. Using a balanced panel dataset of 63 firms over five years (315 firm-year observations), this study applies a Random Effect Model (REM) panel regression, supported by the Hausman test (p = 0.0631), and conducts robustness checks using System Generalized Method of Moments (System GMM) with a lag specification of (3,3). Technology adoption is measured through the frequency of AI-related keywords identified in annual reports using Python-based text analysis, while firm size is proxied by the natural logarithm of total assets (LNTA). Profitability is measured by Return on Assets (ROA), with Debt-to-Asset Ratio (DAR), Firm Age, and Cost-to-Income Ratio included as control variables. The findings consistently indicate that neither technology adoption nor firm size has a statistically significant effect on ROA. In contrast, firm age positively and significantly influences profitability, while leverage has a significant negative impact. These results suggest that AI-related disclosure has not yet generated measurable profitability gains and that larger firm size does not necessarily provide a profitability advantage. The study contributes to the literature on </w:t>
      </w:r>
      <w:r w:rsidR="00C072F1" w:rsidRPr="00C072F1">
        <w:rPr>
          <w:rFonts w:ascii="Arial" w:hAnsi="Arial" w:cs="Arial"/>
          <w:sz w:val="20"/>
          <w:szCs w:val="20"/>
        </w:rPr>
        <w:lastRenderedPageBreak/>
        <w:t>digital transformation and corporate performance and offers insights for managers, investors, and policymakers in emerging financial markets.</w:t>
      </w:r>
    </w:p>
    <w:p w14:paraId="614B4EFF" w14:textId="77777777" w:rsidR="00652930" w:rsidRDefault="00652930" w:rsidP="00A51969">
      <w:pPr>
        <w:spacing w:after="0" w:line="240" w:lineRule="auto"/>
        <w:jc w:val="both"/>
        <w:rPr>
          <w:rFonts w:ascii="Arial" w:hAnsi="Arial" w:cs="Arial"/>
          <w:sz w:val="20"/>
          <w:szCs w:val="20"/>
        </w:rPr>
      </w:pPr>
    </w:p>
    <w:p w14:paraId="784B94B2" w14:textId="6A65DFE5"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Raisa Shalom Gultom, Indira Cahyaning Tyas, Steffany Rusli and Tommy Andrian. Beyond Technology: Understanding Tax Digitalization Adoption</w:t>
      </w:r>
    </w:p>
    <w:p w14:paraId="06946748" w14:textId="52DB8479"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rapid advancement of digital transformation has encouraged governments to modernize tax administration systems through tax digitalization initiatives. However, the successful adoption of tax digitalization among individual </w:t>
      </w:r>
      <w:proofErr w:type="gramStart"/>
      <w:r w:rsidR="00C072F1" w:rsidRPr="00C072F1">
        <w:rPr>
          <w:rFonts w:ascii="Arial" w:hAnsi="Arial" w:cs="Arial"/>
          <w:sz w:val="20"/>
          <w:szCs w:val="20"/>
        </w:rPr>
        <w:t>tax-payers</w:t>
      </w:r>
      <w:proofErr w:type="gramEnd"/>
      <w:r w:rsidR="00C072F1" w:rsidRPr="00C072F1">
        <w:rPr>
          <w:rFonts w:ascii="Arial" w:hAnsi="Arial" w:cs="Arial"/>
          <w:sz w:val="20"/>
          <w:szCs w:val="20"/>
        </w:rPr>
        <w:t xml:space="preserve"> remains a critical challenge. This study aims to examine the effects of Effort Expectancy, Facilitating Conditions, Performance Expectancy, and So-cial Influence on Tax Digitalization Adoption among individual taxpayers re-siding in Jakarta and Tangerang. This study employed a quantitative approach using primary data collected through an online questionnaire distributed via Google Forms. Using a convenience sampling technique, 187 valid responses were obtained from individual taxpayers. The data were analyzed using SmartPLS to evaluate the relationships among the proposed variables. The findings reveal that Effort Expectancy and Social Influence do not have signif-icant effects on Tax Digitalization Adoption. In contrast, Facilitating Condi-tions and Performance Expectancy positively and significantly influence Tax Digitalization Adoption. These results indicate that taxpayers are more likely to adopt digital tax systems when adequate technological infrastructure, sup-port systems, and perceived performance benefits are available. Ease of use and social pressure, however, are not the primary determinants of adoption be-havior. The study implies that individual taxpayers prioritize practical benefits, efficiency, and system support in adopting digital tax services. Therefore, tax authorities and policymakers are encouraged to improve digital infrastructure, system reliability, accessibility, and user support services to enhance taxpay-ers’ confidence and participation in digital tax ecosystems.</w:t>
      </w:r>
    </w:p>
    <w:p w14:paraId="6C82A0F6" w14:textId="77777777" w:rsidR="00652930" w:rsidRDefault="00652930" w:rsidP="00A51969">
      <w:pPr>
        <w:spacing w:after="0" w:line="240" w:lineRule="auto"/>
        <w:jc w:val="both"/>
        <w:rPr>
          <w:rFonts w:ascii="Arial" w:hAnsi="Arial" w:cs="Arial"/>
          <w:sz w:val="20"/>
          <w:szCs w:val="20"/>
        </w:rPr>
      </w:pPr>
    </w:p>
    <w:p w14:paraId="064AD6F4" w14:textId="19B915B6"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Wendy Jonathan, Fico Darryl, Aldrine Yivaldo and Tommy Andrian. Future-Ready Accountants: What Drives AI Adoption Among Accounting Students?</w:t>
      </w:r>
    </w:p>
    <w:p w14:paraId="0024FF0C" w14:textId="28DF1DE5"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examines the factors influencing AI Technology Adoption among accounting students in the context of rapidly evolving digital transformation in higher education. As artificial intelligence continues to reshape the accounting profession, understanding students’ readiness and behavioral factors toward AI adoption has become increasingly important. The study aims to analyze the ef-fects of Digital Competence, Technology Readiness, and Perceived Behavioral Control on AI Technology Adoption among accounting students. A quantita-tive approach was employed using primary data collected through an online questionnaire distributed via Google Forms. The study utilized convenience sampling involving 199 active accounting students located in Jakarta and Tan-gerang. Data were analyzed using SmartPLS to evaluate the proposed </w:t>
      </w:r>
      <w:proofErr w:type="gramStart"/>
      <w:r w:rsidR="00C072F1" w:rsidRPr="00C072F1">
        <w:rPr>
          <w:rFonts w:ascii="Arial" w:hAnsi="Arial" w:cs="Arial"/>
          <w:sz w:val="20"/>
          <w:szCs w:val="20"/>
        </w:rPr>
        <w:t>relation-ships</w:t>
      </w:r>
      <w:proofErr w:type="gramEnd"/>
      <w:r w:rsidR="00C072F1" w:rsidRPr="00C072F1">
        <w:rPr>
          <w:rFonts w:ascii="Arial" w:hAnsi="Arial" w:cs="Arial"/>
          <w:sz w:val="20"/>
          <w:szCs w:val="20"/>
        </w:rPr>
        <w:t xml:space="preserve"> among variables. The findings reveal that Digital Competence does not have a significant effect on AI Technology Adoption. In contrast, Technology Readiness and Perceived Behavioral Control positively and significantly influ-ence AI Technology Adoption among accounting students. The study implies that accounting students need to develop adaptive mindsets, technological con-fidence, and readiness to engage with AI-driven tools and learning environ-ments. Higher education institutions are also encouraged to design learning strategies and curricula that strengthen students’ technological readiness and behavioral confidence to better prepare future accounting professionals for the AI-driven digital economy</w:t>
      </w:r>
    </w:p>
    <w:p w14:paraId="286A8690" w14:textId="77777777" w:rsidR="00652930" w:rsidRDefault="00652930" w:rsidP="00A51969">
      <w:pPr>
        <w:spacing w:after="0" w:line="240" w:lineRule="auto"/>
        <w:jc w:val="both"/>
        <w:rPr>
          <w:rFonts w:ascii="Arial" w:hAnsi="Arial" w:cs="Arial"/>
          <w:sz w:val="20"/>
          <w:szCs w:val="20"/>
        </w:rPr>
      </w:pPr>
    </w:p>
    <w:p w14:paraId="26592FE0" w14:textId="77F5B696"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Daniel Nasution, Alisha Puteri, Alya Febryanti, Stephanie Stephanie and Linda Wedari. The Role of Artificial Intelligence in Enhancing Auditor Accountability in Public Accounting Firm in Indonesia</w:t>
      </w:r>
    </w:p>
    <w:p w14:paraId="468E66EA" w14:textId="6D910F6E"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application of Artificial Intelligence (AI) has become increasingly important in the auditing profession by helping auditors analyze large amounts of data, detect unusual patterns, and improve the accuracy of professional judgments. As audit activities become more demanding, Public Accounting Firms (KAP) in Indonesia are increasingly incorporating AI into their audit processes to enhance performance and promote greater auditor accountability. This research aims to analyze the influence of AI utilization on auditor accountability in Public Accounting Firms (KAP) in Indonesia. A quantitative research method was adopted, and the Partial Least Squares Structural Equation Modeling (PLS-SEM) technique was employed to assess the relationship between AI utilization and auditor accountability. The results demonstrate that AI utilization has a positive and statistically significant influence on auditor accountability. The use of AI enables auditors to conduct more efficient data analysis, identify potential risks and irregular transactions more effectively, and improve compliance with professional auditing standards. Moreover, AI supports the consistency of audit procedures, strengthens the credibility of audit evidence, and assists auditors in making objective and informed decisions. Overall, the findings indicate that AI is an effective tool for enhancing audit quality, reinforcing auditor accountability, and improving the efficiency and reliability of audit practices within Public Accounting Firms.</w:t>
      </w:r>
    </w:p>
    <w:p w14:paraId="7162D797" w14:textId="77777777" w:rsidR="00652930" w:rsidRDefault="00652930" w:rsidP="00A51969">
      <w:pPr>
        <w:spacing w:after="0" w:line="240" w:lineRule="auto"/>
        <w:jc w:val="both"/>
        <w:rPr>
          <w:rFonts w:ascii="Arial" w:hAnsi="Arial" w:cs="Arial"/>
          <w:sz w:val="20"/>
          <w:szCs w:val="20"/>
        </w:rPr>
      </w:pPr>
    </w:p>
    <w:p w14:paraId="600EEC42" w14:textId="67E25850"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Muhammad Naufal Rizky and Astri Ghina. An Analysis of Digital, Network, and Innovation Capability Practices in Culinary SMEs</w:t>
      </w:r>
    </w:p>
    <w:p w14:paraId="378A843B" w14:textId="23546503"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lastRenderedPageBreak/>
        <w:t>Abstract:</w:t>
      </w:r>
      <w:r w:rsidR="00C072F1" w:rsidRPr="00C072F1">
        <w:rPr>
          <w:rFonts w:ascii="Arial" w:hAnsi="Arial" w:cs="Arial"/>
          <w:sz w:val="20"/>
          <w:szCs w:val="20"/>
        </w:rPr>
        <w:t xml:space="preserve"> Information-technology adoption among micro and small enterprises (MSEs) is now near-universal, yet adoption rarely predicts e-business success. This study examines the adoption–utilization gap: why small culinary business that have adopted the same e-business channels social commerce, food-delivery platforms, digital payment, and review systems diverge sharply in outcomes. Using an exploratory, interpretive multiple-case design, we studied six small culinary enterprises in Bandung, Indonesia, spanning established businesses and stagnating early-stage ventures in the Global Entrepreneur-ship Monitor (GEM) sense. In-depth interviews, observation, and digital-artifact analysis were coded openly, axially and selectively, and verified by source and theory triangulation, drawing on the Resource-Based View and Dynamic Capability Theory. Every business had adopted e-business technol-ogy, but the decisive differentiator was the depth of post-adoptive use wheth-er platform data drove decisions together with the breadth of network capabil-ity and the structure of the innovation process. Two cross-cutting conditions governed assimilation: the owner’s growth orientation, acting as a cognitive gateway, and human-resource / digital-literacy capacity, acting as the critical enabler. We synthesise the results into a five-level IT-adoption / e-business capability-maturity model (Stagnant/Survival, Community-Locked, Pragmat-ic Safe-Player, Systematized/Institutional, Digital-Native Strategic). The study reframes MSE e-business performance as a problem of deep assimilation and capability integration gated by entrepreneurial cognition, not of technol-ogy access, and offers a diagnostic tool for owners, support institutions and policymakers.</w:t>
      </w:r>
    </w:p>
    <w:p w14:paraId="42418D9B" w14:textId="77777777" w:rsidR="00652930" w:rsidRDefault="00652930" w:rsidP="00A51969">
      <w:pPr>
        <w:spacing w:after="0" w:line="240" w:lineRule="auto"/>
        <w:jc w:val="both"/>
        <w:rPr>
          <w:rFonts w:ascii="Arial" w:hAnsi="Arial" w:cs="Arial"/>
          <w:sz w:val="20"/>
          <w:szCs w:val="20"/>
        </w:rPr>
      </w:pPr>
    </w:p>
    <w:p w14:paraId="57FFA69F" w14:textId="00290F6E"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Sarp Bağcan and Cüneyt Yılmaz. The Summary Trap: AI-Generated News Summaries, Context Compression, and Public Trust in Intelligent Information Systems</w:t>
      </w:r>
    </w:p>
    <w:p w14:paraId="05A7FDC7" w14:textId="4C41863D"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AI-generated news summaries afford users faster and less demanding access to complex public events. While this affordance may appear advantageous in contexts marked by news avoidance, information fatigue, and platformised news consumption, it carries substantial risks. News summaries do not merely condense information; they may reorganise the contextual fabric of a news item, its source attributions, degree of uncertainty, editorial judgment, and the contested processes through which public meaning is produced. This article introduces the concept of the summary trap to account for this risk: the condition in which AI-generated summaries create the impression of rapid, fluent, and comprehensible information while rendering invisible the contextual, source-bound, uncertain, and contested nature of public events. The article proposes a five-mechanism framework - context compression, source flattening, uncertainty reduction, editorial opacity, and the fluency effect - and develops its analysis through the concepts of user encounter, interface authority, embedded narrative effect, and loss of assessability. It argues that the summary trap does not originate in misinformation but in the systemic narrowing of public meaning through automated intermediaries. The article concludes by proposing a risk-sensitive design rationale and contends that the standard brief-summary logic proves inadequate across domains including elections, disasters, health, armed conflict, economics, and social movements.</w:t>
      </w:r>
    </w:p>
    <w:p w14:paraId="7F3DC7DB" w14:textId="77777777" w:rsidR="00652930" w:rsidRDefault="00652930" w:rsidP="00A51969">
      <w:pPr>
        <w:spacing w:after="0" w:line="240" w:lineRule="auto"/>
        <w:jc w:val="both"/>
        <w:rPr>
          <w:rFonts w:ascii="Arial" w:hAnsi="Arial" w:cs="Arial"/>
          <w:sz w:val="20"/>
          <w:szCs w:val="20"/>
        </w:rPr>
      </w:pPr>
    </w:p>
    <w:p w14:paraId="18BF70DF" w14:textId="77652B5F"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Juan Halim, Dennis Gunadi and Darusalam Darusalam. Enhancing Accounting Students' Career Readiness through Big Data Literacy: Evidence from Data- Driven Culture, Technological Infrastructure, Human Analytical Skills, and Data Governance</w:t>
      </w:r>
    </w:p>
    <w:p w14:paraId="0359C99F" w14:textId="71ECED56"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Digital technology and AI have revolutionized the skills needed in the job market, which is leading to a mismatch between the skills graduates possess and the skills that employers are looking for. This study aims to analyze the influence of the dimensions of Big Data Literacy on accounting students career readiness in Indonesia, which are Data-Driven Culture, Technological Infrastructure, Human Analytical Skills, and Data Governance. Following the Hu-man Capital Theory, this study suggests that the four dimensions </w:t>
      </w:r>
      <w:proofErr w:type="gramStart"/>
      <w:r w:rsidR="00C072F1" w:rsidRPr="00C072F1">
        <w:rPr>
          <w:rFonts w:ascii="Arial" w:hAnsi="Arial" w:cs="Arial"/>
          <w:sz w:val="20"/>
          <w:szCs w:val="20"/>
        </w:rPr>
        <w:t>are considered to be</w:t>
      </w:r>
      <w:proofErr w:type="gramEnd"/>
      <w:r w:rsidR="00C072F1" w:rsidRPr="00C072F1">
        <w:rPr>
          <w:rFonts w:ascii="Arial" w:hAnsi="Arial" w:cs="Arial"/>
          <w:sz w:val="20"/>
          <w:szCs w:val="20"/>
        </w:rPr>
        <w:t xml:space="preserve"> skill sets that can be trained and which help to prepare graduates for a working place based on artificial intelligence. The survey method used was quantitative, which used 110 students of accounting who were selected with purposive sampling from various universities in Indonesia. The data were gathered using an online questionnaire and analyzed with the Partial Least Squares Structural Equation Modeling (PLS-SEM) using the software SmartPLS 4 and SPSS for the descriptive test. The results indicate that there is a significant positive correlation between Career Readiness and Data-Driven Culture, Human Analytical Skills, and Data Governance, with the strongest relationship being between Career Readiness and Human Analytical Skills. However, Technological Infrastructure does not have a significant direct effect, indicating that access to technology alone is not enough without the ability to use it effectively. The results have practical implications for teachers and policymakers to enhance data literacy, analytical and data governance skills in accountancy programs to equip graduates for the demands of the digital era.</w:t>
      </w:r>
    </w:p>
    <w:p w14:paraId="45C37B7C" w14:textId="77777777" w:rsidR="00652930" w:rsidRDefault="00652930" w:rsidP="00A51969">
      <w:pPr>
        <w:spacing w:after="0" w:line="240" w:lineRule="auto"/>
        <w:jc w:val="both"/>
        <w:rPr>
          <w:rFonts w:ascii="Arial" w:hAnsi="Arial" w:cs="Arial"/>
          <w:sz w:val="20"/>
          <w:szCs w:val="20"/>
        </w:rPr>
      </w:pPr>
    </w:p>
    <w:p w14:paraId="26988B7D" w14:textId="4DB221B2"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Lale Özyılmaz and Yusuf Coşkun. An Explainable Fuzzy Decision-Support Framework for FDM Process Parameter Selection Using Sensitivity Analysis and Genetic Inverse Design</w:t>
      </w:r>
    </w:p>
    <w:p w14:paraId="452C1320" w14:textId="7CF9EA5D"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surface and mechanical quality of parts produced by fused deposition modeling (FDM) depends on several process parameters, including layer height, infill density, wall thickness, nozzle temperature, and </w:t>
      </w:r>
      <w:r w:rsidR="00C072F1" w:rsidRPr="00C072F1">
        <w:rPr>
          <w:rFonts w:ascii="Arial" w:hAnsi="Arial" w:cs="Arial"/>
          <w:sz w:val="20"/>
          <w:szCs w:val="20"/>
        </w:rPr>
        <w:lastRenderedPageBreak/>
        <w:t xml:space="preserve">material type. Selecting these parameters through trial and error is costly in terms of time, material, and labor. This study proposes an explainable fuzzy decision-support framework for FDM process parameter selection. An open-access dataset containing 50 samples was used to model three quality outputs: sur-face roughness, tensile strength, and elongation. Linear regression, artificial neural network (ANN), fuzzy inference system (FIS), and adaptive neuro-fuzzy inference system (ANFIS) models were compared using repeated 5-fold cross-validation. The results showed that no single model was consist-ently superior for all outputs and that increasing model complexity did not always improve predictive stability under limited-data conditions. Therefore, fuzzy surrogate models were selected by considering prediction perfor-mance, stability, simplicity, and interpretability together. One-at-a-time sensi-tivity analysis identified layer height as the dominant parameter for rough-ness, infill density for tensile strength, and nozzle temperature for elonga-tion. Finally, genetic algorithm-based inverse design was used to generate feasible parameter recommendations for three different quality targets within the observed process window. The results indicate that the proposed </w:t>
      </w:r>
      <w:proofErr w:type="gramStart"/>
      <w:r w:rsidR="00C072F1" w:rsidRPr="00C072F1">
        <w:rPr>
          <w:rFonts w:ascii="Arial" w:hAnsi="Arial" w:cs="Arial"/>
          <w:sz w:val="20"/>
          <w:szCs w:val="20"/>
        </w:rPr>
        <w:t>frame-work</w:t>
      </w:r>
      <w:proofErr w:type="gramEnd"/>
      <w:r w:rsidR="00C072F1" w:rsidRPr="00C072F1">
        <w:rPr>
          <w:rFonts w:ascii="Arial" w:hAnsi="Arial" w:cs="Arial"/>
          <w:sz w:val="20"/>
          <w:szCs w:val="20"/>
        </w:rPr>
        <w:t xml:space="preserve"> provides an explainable and target-dependent decision-support ap-proach for FDM parameter selection under small-data conditions.</w:t>
      </w:r>
    </w:p>
    <w:p w14:paraId="1604B576" w14:textId="77777777" w:rsidR="00652930" w:rsidRDefault="00652930" w:rsidP="00A51969">
      <w:pPr>
        <w:spacing w:after="0" w:line="240" w:lineRule="auto"/>
        <w:jc w:val="both"/>
        <w:rPr>
          <w:rFonts w:ascii="Arial" w:hAnsi="Arial" w:cs="Arial"/>
          <w:sz w:val="20"/>
          <w:szCs w:val="20"/>
        </w:rPr>
      </w:pPr>
    </w:p>
    <w:p w14:paraId="46E68EDD" w14:textId="5AEB756D"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Hasnaa Jawhar, Loubna Hamami and Nassereddine Bouchaib. Beyond fragmented models: proposal for a systemic model of the digital transformation of higher education</w:t>
      </w:r>
    </w:p>
    <w:p w14:paraId="16037EC4" w14:textId="2AA9F182"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digital transformation is a major strategic challenge for all sectors, including higher education, facing technological, organisational and pedagogical changes reinforced by the growing emergence of artificial intelligence. However, despite the abundance of work on university digitalisation, it remains marked by significant theoretical fragmentation. Existing models generally address the digital transformation through partial and poorly articulated dimensions. In this perspective, this study aims to critically analyse the main theoretical models </w:t>
      </w:r>
      <w:proofErr w:type="gramStart"/>
      <w:r w:rsidR="00C072F1" w:rsidRPr="00C072F1">
        <w:rPr>
          <w:rFonts w:ascii="Arial" w:hAnsi="Arial" w:cs="Arial"/>
          <w:sz w:val="20"/>
          <w:szCs w:val="20"/>
        </w:rPr>
        <w:t>in order to</w:t>
      </w:r>
      <w:proofErr w:type="gramEnd"/>
      <w:r w:rsidR="00C072F1" w:rsidRPr="00C072F1">
        <w:rPr>
          <w:rFonts w:ascii="Arial" w:hAnsi="Arial" w:cs="Arial"/>
          <w:sz w:val="20"/>
          <w:szCs w:val="20"/>
        </w:rPr>
        <w:t xml:space="preserve"> identify their contributions and limitations, as well as persistent conceptual gaps, through a qualitative approach based on a literature review and a comparative analysis of several theoretical frameworks from international works. The results show that existing approaches are mainly focused on specific dimensions, thus limiting the overall understanding of the phenomenon. On this basis, the study proposes an initial model articulated around the technological, educational, institutional and human dimensions, integrating artificial intelligence as a transversal facilitator of the digital transformation in a systemic and interdependent perspective. This research thus contributes to enriching theoretical reflections on digitalisation in higher education by proposing an integrative model articulating the main dimensions of digitalisation from a systemic and global perspective, likely to support future empirical research on the digital evolution of higher education institutions.</w:t>
      </w:r>
    </w:p>
    <w:p w14:paraId="5A0708DA" w14:textId="77777777" w:rsidR="00652930" w:rsidRDefault="00652930" w:rsidP="00A51969">
      <w:pPr>
        <w:spacing w:after="0" w:line="240" w:lineRule="auto"/>
        <w:jc w:val="both"/>
        <w:rPr>
          <w:rFonts w:ascii="Arial" w:hAnsi="Arial" w:cs="Arial"/>
          <w:sz w:val="20"/>
          <w:szCs w:val="20"/>
        </w:rPr>
      </w:pPr>
    </w:p>
    <w:p w14:paraId="1F22EDD0" w14:textId="65DC932D"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Ahmad Tajudin Baharin and Nurul Azlin Liyana Mohamad. Beyond Keyword Matching: An Empirical Investigation of Rubric Compliance Behaviour in AI-Powered Subjective Assessment</w:t>
      </w:r>
    </w:p>
    <w:p w14:paraId="1A09F86A" w14:textId="0454FF8E"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Large Language Models (LLMs) have transformed automated subjective as-sessment by shifting it from keyword-based scoring towards semantic and context-aware evaluation. However, existing studies have focused mainly on grading accuracy and agreement with human markers, offering limited in-sight into how AI-generated scores align with explicit marking rubrics. This study examines the behavioral characteristics of an AI-powered, rubric-based assessment system using 30 authentic undergraduate reports from a Cloud Computing course. The dataset comprised 360 assessment decisions across twelve subjective questions. Each decision was analysed in relation to the student response, expected answer, official rubric, matched and missing concepts, allocated score, and AI-generated explanation. Four recurring be-haviors were identified: Literal Rubric Compliance (11.4%), Semantic Rubric Compliance (13.6%), Partial Rubric Compliance (40.3%), and Inconsistent Rubric Compliance (34.7%). Overall, 88.6% of the decisions involved some form of non-literal interpretation, indicating that assessment outcomes were shaped by the interaction between semantic reasoning, contextual interpreta-tion, and rubric constraints rather than by lexical correspondence alone. Based on these findings, the study proposes the Rubric Compliance Behavior (RCB) framework as a behavioral lens for evaluating AI-assisted assessment. The framework complements conventional accuracy measures by enabling more transparent, explainable, and auditable analysis of automated marking decisions in higher education.</w:t>
      </w:r>
    </w:p>
    <w:p w14:paraId="635F9B7A" w14:textId="77777777" w:rsidR="00652930" w:rsidRDefault="00652930" w:rsidP="00A51969">
      <w:pPr>
        <w:spacing w:after="0" w:line="240" w:lineRule="auto"/>
        <w:jc w:val="both"/>
        <w:rPr>
          <w:rFonts w:ascii="Arial" w:hAnsi="Arial" w:cs="Arial"/>
          <w:sz w:val="20"/>
          <w:szCs w:val="20"/>
        </w:rPr>
      </w:pPr>
    </w:p>
    <w:p w14:paraId="0B8BC8A9" w14:textId="06DCE591"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Bayu Rahayudi, Muhammad Allam Zaahid and Dwija Wisnu Brata. Mobile Application for Coordinating Informal Collaboration in Collective Qur’an Recitation Completion Practices</w:t>
      </w:r>
    </w:p>
    <w:p w14:paraId="0C9DC02F" w14:textId="6977BFAE"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paper examines how mobile application can support coordination in loosely structured collaborative activities. While prior research in Computer-Supported Cooperative Work (CSCW) has predominantly focused on formal organizational contexts, less attention has been given to community-based and religious collaborations, where coordination is informal, distributed, and often mediated by general-purpose communication tools. We present the de-sign and evaluation of a collaborative mobile application developed to sup-port collective recitation Qur’an completion (khataman), a religious practice involving distributed participants collaboratively completing the recitation of the Qur’an within a specified timeframe. Existing coordination practices rely heavily on messaging platforms, which lack structured mechanisms for task </w:t>
      </w:r>
      <w:r w:rsidR="00C072F1" w:rsidRPr="00C072F1">
        <w:rPr>
          <w:rFonts w:ascii="Arial" w:hAnsi="Arial" w:cs="Arial"/>
          <w:sz w:val="20"/>
          <w:szCs w:val="20"/>
        </w:rPr>
        <w:lastRenderedPageBreak/>
        <w:t>allocation, progress tracking, and synchronization, resulting in inefficiencies such as duplicated work, delayed updates, and limited group awareness. This study adopts a Design Science Research (DSR) approach to iteratively de-sign, develop, and evaluate a mobile-cloud system that operationalizes key CSCW principles, communication, coordination, and collaboration, within a unified platform. Empirical evaluation was conducted through functional testing, usability assessment using the System Usability Scale (SUS), and per-formance testing via load simulation. The results indicate that the system achieves a SUS score of 77.78, reflecting good usability, and supports up to 500 concurrent users with stable performance, an average response time of 1,231 milliseconds, and a low error rate of 0.27%. This study contributes to CSCW in three ways: (1) extending coordination theory into informal reli-gious collaboration contexts, (2) demonstrating how real-time mobile-cloud architectures can support large-scale coordination in loosely structured groups, and (3) providing empirical evidence from a real-world deployment.</w:t>
      </w:r>
    </w:p>
    <w:p w14:paraId="4EA76510" w14:textId="77777777" w:rsidR="00652930" w:rsidRDefault="00652930" w:rsidP="00A51969">
      <w:pPr>
        <w:spacing w:after="0" w:line="240" w:lineRule="auto"/>
        <w:jc w:val="both"/>
        <w:rPr>
          <w:rFonts w:ascii="Arial" w:hAnsi="Arial" w:cs="Arial"/>
          <w:sz w:val="20"/>
          <w:szCs w:val="20"/>
        </w:rPr>
      </w:pPr>
    </w:p>
    <w:p w14:paraId="1AE274D0" w14:textId="49CCBE25"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Christiano Setiadi, Kian Santang Kusumah, Kevin Sumbadji and Lindrianasari Lindrianasari. Does Lower Carbon Emission Intensity Reflect Better ESG Performance? Evidence from Manufacturing Firms in Emerging ASEAN Economies</w:t>
      </w:r>
    </w:p>
    <w:p w14:paraId="7CA809B4" w14:textId="7C177E76"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Carbon Emission Intensity (CEI) and Environmental, Social and Governance (ESG) ratings are widely used measures to assess a business's sustainability performance. However, a major empirical question is whether ESG ratings genuinely reflect enterprises’ carbon efficiency, particularly in the expanding ASEAN economies where sustainability reporting requirements and environ-mental legislation are still developing. The aim of this study is to evaluate the association between lower carbon emission intensity and improved ESG per-formance of publicly listed manufacturing companies in selected ASEAN countries. Data were obtained from the LSEG Data &amp; Analytics platform using a balanced panel dataset of publicly listed manufacturing firms in Indonesia, Malaysia, Thailand, the Philippines, and Vietnam over the 2020–2024 period. Fixed and random effects panel regression models were </w:t>
      </w:r>
      <w:proofErr w:type="gramStart"/>
      <w:r w:rsidR="00C072F1" w:rsidRPr="00C072F1">
        <w:rPr>
          <w:rFonts w:ascii="Arial" w:hAnsi="Arial" w:cs="Arial"/>
          <w:sz w:val="20"/>
          <w:szCs w:val="20"/>
        </w:rPr>
        <w:t>applied</w:t>
      </w:r>
      <w:proofErr w:type="gramEnd"/>
      <w:r w:rsidR="00C072F1" w:rsidRPr="00C072F1">
        <w:rPr>
          <w:rFonts w:ascii="Arial" w:hAnsi="Arial" w:cs="Arial"/>
          <w:sz w:val="20"/>
          <w:szCs w:val="20"/>
        </w:rPr>
        <w:t xml:space="preserve"> and the Haus-man test was performed to choose the most appropriate specification. Robust standard errors were employed to enhance statistical inference. The results re-veal that there is no </w:t>
      </w:r>
      <w:proofErr w:type="gramStart"/>
      <w:r w:rsidR="00C072F1" w:rsidRPr="00C072F1">
        <w:rPr>
          <w:rFonts w:ascii="Arial" w:hAnsi="Arial" w:cs="Arial"/>
          <w:sz w:val="20"/>
          <w:szCs w:val="20"/>
        </w:rPr>
        <w:t>statistical</w:t>
      </w:r>
      <w:proofErr w:type="gramEnd"/>
      <w:r w:rsidR="00C072F1" w:rsidRPr="00C072F1">
        <w:rPr>
          <w:rFonts w:ascii="Arial" w:hAnsi="Arial" w:cs="Arial"/>
          <w:sz w:val="20"/>
          <w:szCs w:val="20"/>
        </w:rPr>
        <w:t xml:space="preserve"> significant impact of Carbon Emission Intensity on ESG scores, which implies that the firms with lower carbon emission inten-sity are not necessarily better on ESG scores. Moreover, firm size and leverage are found to be significantly positively related to ESG performance. The find-ings imply a possible ESG Emissions Paradox, where positive ESG ratings may not necessarily reflect the actual carbon efficiency and decarbonization performance of industrial businesses in emerging ASEAN countries.</w:t>
      </w:r>
    </w:p>
    <w:p w14:paraId="6A8D4CEB" w14:textId="77777777" w:rsidR="00652930" w:rsidRDefault="00652930" w:rsidP="00A51969">
      <w:pPr>
        <w:spacing w:after="0" w:line="240" w:lineRule="auto"/>
        <w:jc w:val="both"/>
        <w:rPr>
          <w:rFonts w:ascii="Arial" w:hAnsi="Arial" w:cs="Arial"/>
          <w:sz w:val="20"/>
          <w:szCs w:val="20"/>
        </w:rPr>
      </w:pPr>
    </w:p>
    <w:p w14:paraId="55893CCB" w14:textId="7A92BDEE"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Vyacheslav Zhukov. Diagnosing Structural and Within-Segment Anomalies in Derived Metrics of Digital Storefronts</w:t>
      </w:r>
    </w:p>
    <w:p w14:paraId="0CEE2213" w14:textId="4CC39868"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Derived metrics in digital storefronts, such as conversion rate (the ratio of purchasing users to all users), aggregate heterogeneous user populations and may deviate either because of changes in traffic composition or because of changes in user behavior within individual segments. These mechanisms require different managerial responses, yet existing root cause analysis methods typically proceed directly to localization without distinguishing between them.</w:t>
      </w:r>
    </w:p>
    <w:p w14:paraId="269DDCB7"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This paper formulates anomaly-type diagnosis as a separate analytical stage preceding root cause localization. We show that the explanatory pow-er of structural shifts is constrained by the magnitude of traffic redistribu-tion, the dispersion of segment-level metric values, and the feasible amount of traffic that individual cells can contribute. Consequently, sufficiently large anomalies cannot be explained by changes in composition alone when segment rates are similar or when extreme-rate cells cannot absorb the re-quired traffic transfer.</w:t>
      </w:r>
    </w:p>
    <w:p w14:paraId="11291999"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Building on this result, we propose an online diagnostic procedure that combines Kitagawa–Oaxaca–Blinder decomposition, statistical testing of the structural component, and counterfactual validation. The method oper-ates without labeled data and relies exclusively on information available at the time an anomaly occurs.</w:t>
      </w:r>
    </w:p>
    <w:p w14:paraId="70C7B023" w14:textId="77777777"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The approach is evaluated on a real clickstream dataset from an e-commerce digital storefront (518 days, 96 detected anomalies) and on semi-synthetic injections with known ground truth. Among 86 diagnosable anomalies, eight are classified as structural shifts, with discriminative counterfactual analysis providing additional evidence for this interpreta-tion, while the remaining events are attributed to within-segment changes. The findings suggest that structural anomalies constitute a distinct class of events requiring a dedicated diagnostic treatment.</w:t>
      </w:r>
    </w:p>
    <w:p w14:paraId="5E40E4B4" w14:textId="77777777" w:rsidR="00652930" w:rsidRDefault="00652930" w:rsidP="00A51969">
      <w:pPr>
        <w:spacing w:after="0" w:line="240" w:lineRule="auto"/>
        <w:jc w:val="both"/>
        <w:rPr>
          <w:rFonts w:ascii="Arial" w:hAnsi="Arial" w:cs="Arial"/>
          <w:sz w:val="20"/>
          <w:szCs w:val="20"/>
        </w:rPr>
      </w:pPr>
    </w:p>
    <w:p w14:paraId="37BD1957" w14:textId="08EBEF1D"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Dini Verdania Latif, Gde Wiraditya, Nadia Andini Kamil and Anton Abdulbasah Kamil. Integrating ESG Metrics into Financial Performance Prediction Models for Islamic Banks Using Random Forest</w:t>
      </w:r>
    </w:p>
    <w:p w14:paraId="6C81E45C" w14:textId="43C59907"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growing emphasis on Environmental, Social, and Governance (ESG) practices has transformed the evaluation of banking performance, particular-ly in Islamic banking where sustainability principles align closely with Sharia values. However, existing studies predominantly rely on conventional statis-tical methods that may not adequately capture the complex and nonlinear re-lationships between ESG factors and financial performance. This study de-velops a financial performance prediction model for Islamic banks by inte-grating </w:t>
      </w:r>
      <w:r w:rsidR="00C072F1" w:rsidRPr="00C072F1">
        <w:rPr>
          <w:rFonts w:ascii="Arial" w:hAnsi="Arial" w:cs="Arial"/>
          <w:sz w:val="20"/>
          <w:szCs w:val="20"/>
        </w:rPr>
        <w:lastRenderedPageBreak/>
        <w:t>ESG metrics, bank-specific financial indicators, Sharia governance characteristics, and historical profitability using the Random Forest machine learning algorithm. The study employs secondary data from 13 Islamic banks covering the period 2021–2025. Return on Assets (ROA) is used as the target variable, while ESG Risk Score, Sustainable Financing Ratio, Sharia Supervi-sory Board (SSB) Size, Capital Adequacy Ratio (CAR), Non-Performing Fi-nancing (NPF), Financing-to-Deposit Ratio (FDR), and lagged ROA serve as predictor variables. Model performance is evaluated using Mean Squared Er-ror (MSE) and the coefficient of determination (R²), while feature im-portance analysis identifies the relative contribution of each predictor. The Random Forest model achieved an MSE of 1.2253 and an R² of 0.4023, in-dicating satisfactory predictive performance. Feature importance analysis re-vealed that the Sustainable Financing Ratio is the strongest predictor of fi-nancial performance (56.99%), followed by historical ROA (19.11%), NPF (9.09%), and ESG Risk Score (6.85%). The findings suggest that sustainabil-ity-oriented financing activities provide greater predictive value than aggre-gate ESG risk measures.</w:t>
      </w:r>
    </w:p>
    <w:p w14:paraId="35D008BC" w14:textId="77777777" w:rsidR="00652930" w:rsidRDefault="00652930" w:rsidP="00A51969">
      <w:pPr>
        <w:spacing w:after="0" w:line="240" w:lineRule="auto"/>
        <w:jc w:val="both"/>
        <w:rPr>
          <w:rFonts w:ascii="Arial" w:hAnsi="Arial" w:cs="Arial"/>
          <w:sz w:val="20"/>
          <w:szCs w:val="20"/>
        </w:rPr>
      </w:pPr>
    </w:p>
    <w:p w14:paraId="4E22A1BF" w14:textId="5489640C"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Syafri Wira Wicaksana, Kurniawan Indra Jaya, Rizky Bagus Paramadani, Muhammad Wikan Putrantiko, Lukman Hakim and Novanto Yudistira. Tiny U-Net with Rotational Transform and Attention Gate for Retinal Vessel Segmentation</w:t>
      </w:r>
    </w:p>
    <w:p w14:paraId="21A3EDB0" w14:textId="3BC86E68"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Image segmentation has become an important topic in computer vision, especially in medical images. Good segmentation can separate different objects and help us focus on desired objects like a retina vessel. Performing a precise drawing of the retina vessel in the fundus image could lead the expert to gain valuable insight to analyze the major eye disease. In this paper, we proposed the modified Unet architecture using rotational transformation and the attention gate. The experiments were carried out on multiple datasets and compared to the existing study. On CHASEDB1 dataset, we accomplished 96.21\% for the highest accuracy. While on Drive dataset we reach the highest accuracy on 95.53\%. in Monuseg dataset, our proposed method </w:t>
      </w:r>
      <w:proofErr w:type="gramStart"/>
      <w:r w:rsidR="00C072F1" w:rsidRPr="00C072F1">
        <w:rPr>
          <w:rFonts w:ascii="Arial" w:hAnsi="Arial" w:cs="Arial"/>
          <w:sz w:val="20"/>
          <w:szCs w:val="20"/>
        </w:rPr>
        <w:t>reach</w:t>
      </w:r>
      <w:proofErr w:type="gramEnd"/>
      <w:r w:rsidR="00C072F1" w:rsidRPr="00C072F1">
        <w:rPr>
          <w:rFonts w:ascii="Arial" w:hAnsi="Arial" w:cs="Arial"/>
          <w:sz w:val="20"/>
          <w:szCs w:val="20"/>
        </w:rPr>
        <w:t xml:space="preserve"> the highest score on AUC 96.62\%. From the experiment, our proposed method can achieve higher accuracy from existing method with right kernel rotation placement position. We hope our proposed method could improve the accuracy of image segmentation in the future.</w:t>
      </w:r>
    </w:p>
    <w:p w14:paraId="4DB93093" w14:textId="77777777" w:rsidR="00652930" w:rsidRDefault="00652930" w:rsidP="00A51969">
      <w:pPr>
        <w:spacing w:after="0" w:line="240" w:lineRule="auto"/>
        <w:jc w:val="both"/>
        <w:rPr>
          <w:rFonts w:ascii="Arial" w:hAnsi="Arial" w:cs="Arial"/>
          <w:sz w:val="20"/>
          <w:szCs w:val="20"/>
        </w:rPr>
      </w:pPr>
    </w:p>
    <w:p w14:paraId="28E22F7D" w14:textId="68061DFC"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Muhammad Aldo Dewantara, Abdul Mukti Soma and Dali Sadli Mulia. A Revenue Stability Framework for Sustainable E-Commerce Marketplaces: Empirical Evidence from Fashion Sellers on Shopee Indonesia</w:t>
      </w:r>
    </w:p>
    <w:p w14:paraId="08448AE2" w14:textId="28A13545"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Revenue volatility undermines seller resilience and the long-term sustainability of digital marketplaces, yet operational diagnostics that translate transaction data into actionable stability indicators remain underdeveloped. This paper proposes a Revenue Stability Framework grounded in a bounded operational metric, the Revenue Stability Index (RSI), and tests four marketplace-observable antecedents: price level (PL), price dispersion (PD), market share proxy (MSP), and quantity sold (QS). Using daily transaction data from 358 fashion sellers on Shopee Indonesia across a 90-day window (October–December 2025), we estimate ordinary least squares regression with heteroskedasticity-robust (HC3) standard errors, complemented by beta regression and a fractional response model for boundedness-aware robustness, and five additional sensitivity specifications including a non-promotion-period subsample. Empirically, PL, PD, and QS exhibit no significant association with RSI, while MSP shows a robust negative association (β = −3.024; p &lt; 0.001) that persists across all eight specifications. The negative MSP–RSI link is interpreted as associative rather than causal, with promotion dependence and competitive pressure proposed as candidate mechanisms. The framework contributes a deployable diagnostic instrument for marketplace analytics, decision-support systems, and seller-level risk monitoring in emerging-economy e-commerce, while transparently acknowledging coupling and design limitations that motivate longitudinal extensions.</w:t>
      </w:r>
    </w:p>
    <w:p w14:paraId="650ABD1E" w14:textId="77777777" w:rsidR="00652930" w:rsidRDefault="00652930" w:rsidP="00A51969">
      <w:pPr>
        <w:spacing w:after="0" w:line="240" w:lineRule="auto"/>
        <w:jc w:val="both"/>
        <w:rPr>
          <w:rFonts w:ascii="Arial" w:hAnsi="Arial" w:cs="Arial"/>
          <w:sz w:val="20"/>
          <w:szCs w:val="20"/>
        </w:rPr>
      </w:pPr>
    </w:p>
    <w:p w14:paraId="4890A39E" w14:textId="053533A4"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Caroline Arifin and Tanty Oktavia. AR Virtual Try-On as a Driver of Purchase Intention of Makeup Brands in E-Commerce through Perceived Value and Brand Preference</w:t>
      </w:r>
    </w:p>
    <w:p w14:paraId="6FE1C1FB" w14:textId="598F4187"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growing use of augmented reality (AR) in e-commerce highlights the importance of delivering high-quality AR-based Virtual Try-On (VTO) experiences, particularly in the beauty and cosmetics industry. A good AR Virtual Try-On feature helps customers make better judgements about what to buy by letting them see beauty goods in a more realistic way before making purchasing decisions. Interactivity, system quality, product informativeness, and reality congruence are some of the most important AR features that affect how consumers see and feel about the experience. When AR features provide customers an accurate visual depiction, useful product information, and a smooth experience, users are more likely to perceive higher value, develop stronger preferences toward brands, and show greater intention to purchase. This study emphasizes that realistic visualization and informative AR content are especially important in building consumer confidence and reducing uncertainty in online beauty shopping. The findings offer valuable insights for e-commerce platforms and beauty brands to optimize AR Virtual Try-On features to enhance perceived value, strengthen brand preference, and encourage purchase intention through improved digital shopping experiences.</w:t>
      </w:r>
    </w:p>
    <w:p w14:paraId="6C43EF03" w14:textId="77777777" w:rsidR="00652930" w:rsidRDefault="00652930" w:rsidP="00A51969">
      <w:pPr>
        <w:spacing w:after="0" w:line="240" w:lineRule="auto"/>
        <w:jc w:val="both"/>
        <w:rPr>
          <w:rFonts w:ascii="Arial" w:hAnsi="Arial" w:cs="Arial"/>
          <w:sz w:val="20"/>
          <w:szCs w:val="20"/>
        </w:rPr>
      </w:pPr>
    </w:p>
    <w:p w14:paraId="42DBB55E" w14:textId="3F9C5A60"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lastRenderedPageBreak/>
        <w:t>Rahmat Siauwijaya. Can Digital Infrastructure Reduce Zombie Firms? Evidence from Four Asian Economies</w:t>
      </w:r>
    </w:p>
    <w:p w14:paraId="01C9A24E" w14:textId="7745275C"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examines the effect of digital infrastructure on the prevalence of zombie firms in four Asian economies. The firm-level panel data is used during 2014–2024. Zombie firms are identified </w:t>
      </w:r>
      <w:proofErr w:type="gramStart"/>
      <w:r w:rsidR="00C072F1" w:rsidRPr="00C072F1">
        <w:rPr>
          <w:rFonts w:ascii="Arial" w:hAnsi="Arial" w:cs="Arial"/>
          <w:sz w:val="20"/>
          <w:szCs w:val="20"/>
        </w:rPr>
        <w:t>on the basis of</w:t>
      </w:r>
      <w:proofErr w:type="gramEnd"/>
      <w:r w:rsidR="00C072F1" w:rsidRPr="00C072F1">
        <w:rPr>
          <w:rFonts w:ascii="Arial" w:hAnsi="Arial" w:cs="Arial"/>
          <w:sz w:val="20"/>
          <w:szCs w:val="20"/>
        </w:rPr>
        <w:t xml:space="preserve"> the financial distress </w:t>
      </w:r>
      <w:proofErr w:type="gramStart"/>
      <w:r w:rsidR="00C072F1" w:rsidRPr="00C072F1">
        <w:rPr>
          <w:rFonts w:ascii="Arial" w:hAnsi="Arial" w:cs="Arial"/>
          <w:sz w:val="20"/>
          <w:szCs w:val="20"/>
        </w:rPr>
        <w:t>conditions</w:t>
      </w:r>
      <w:proofErr w:type="gramEnd"/>
      <w:r w:rsidR="00C072F1" w:rsidRPr="00C072F1">
        <w:rPr>
          <w:rFonts w:ascii="Arial" w:hAnsi="Arial" w:cs="Arial"/>
          <w:sz w:val="20"/>
          <w:szCs w:val="20"/>
        </w:rPr>
        <w:t xml:space="preserve"> and the digital infrastructure is measured both by individual indicators (Internet, Broadband, Mobile, Server, and High-Tech) and a composite index. The results of logit regression and average marginal effects suggest that digital infrastructure has a negative statistically significant effect on the probability of firms becoming zombies across all models, confirming the baseline hypothesis that better digital infrastructure alleviates corporate financial distress. However, robustness checks using a PCA-based composite index suggest that the relationship is sensitive to the construction of variables and becomes less consistent when country fixed effects are included, indicating that the effects depend on the measurement. Further analysis shows that the negative effect of digital infrastructure is not significantly stronger for small firms, as the moderating effect of firm size is weak and mostly insignificant. On the other hand, economic development significantly moderates the relationship, with the effect of digital infrastructure being more pronounced in less developed economies, although varying across income levels. Overall, the results underline the importance but context-dependent role of digital infrastructure in reducing zombie firms, with implications for measurement strategy and policy targeting in emerging Asian economies.</w:t>
      </w:r>
    </w:p>
    <w:p w14:paraId="4838A19A" w14:textId="77777777" w:rsidR="00652930" w:rsidRDefault="00652930" w:rsidP="00A51969">
      <w:pPr>
        <w:spacing w:after="0" w:line="240" w:lineRule="auto"/>
        <w:jc w:val="both"/>
        <w:rPr>
          <w:rFonts w:ascii="Arial" w:hAnsi="Arial" w:cs="Arial"/>
          <w:sz w:val="20"/>
          <w:szCs w:val="20"/>
        </w:rPr>
      </w:pPr>
    </w:p>
    <w:p w14:paraId="2F6444EE" w14:textId="35B6FDF0"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Azhara Rahma Effendi, Fitriyana Dewi and Ryan Adhitya Nugraha. Design and Development of a Strategic Governance Assessment Tool for an Integrated IT Governance</w:t>
      </w:r>
    </w:p>
    <w:p w14:paraId="34B539F4" w14:textId="37A1A8C2"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Digital transformation has increased the need for information technology governance mechanisms that align strategic direction, value creation, risk control, and service execution within a coherent organizational framework. Although COBIT 2019 provides strong guidance for enterprise-level governance and ITILv4 offers detailed support for service management, their separate application often leaves a gap between strategic governance objectives and operational implementation. To address this issue, prior research introduced CITIGOV as an integrated model combining governance and service perspectives, but the model still lacks a structured instrument for assessing the capability of its Strategic Governance domain. This study develops a Strategic Governance assessment tool for CITIGOV, focusing on the Value Planning and Risk Compliance process areas. Using a Design Science Research approach, the study translates conceptual constructs into an operational artifact consisting of questionnaire items, an evidence-based scoring guide, and a maturity interpretation scheme. Initial validation is conducted through expert review. The study contributes a repeatable assessment tool that operationalizes the Strategic Governance domain of CITIGOV into measurable organizational practices for integrated IT governance assessment.</w:t>
      </w:r>
    </w:p>
    <w:p w14:paraId="6C69E65A" w14:textId="77777777" w:rsidR="00652930" w:rsidRDefault="00652930" w:rsidP="00A51969">
      <w:pPr>
        <w:spacing w:after="0" w:line="240" w:lineRule="auto"/>
        <w:jc w:val="both"/>
        <w:rPr>
          <w:rFonts w:ascii="Arial" w:hAnsi="Arial" w:cs="Arial"/>
          <w:sz w:val="20"/>
          <w:szCs w:val="20"/>
        </w:rPr>
      </w:pPr>
    </w:p>
    <w:p w14:paraId="277D07CE" w14:textId="3362B296"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Hema Raju Barri and Chandana Charitha Peddinti. Privacy-Sensitive Generative AI Sourcing in Federal Information Systems</w:t>
      </w:r>
    </w:p>
    <w:p w14:paraId="02A12C3A" w14:textId="0FB58B98"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Generative artificial intelligence (GenAI) is becoming part of public-sector information systems, but less is known about the governance boundary through which privacy-sensitive systems are acquired. Conventional safeguarding logic predicts that personally identifiable information (PII) should push organizations toward internal or hybrid development, because contracting over sensitive data increases monitoring and misuse risks. A competing information-systems capability view predicts greater vendor reliance when organizations need authorized infrastructure, security controls, implementation expertise, and lifecycle support. This paper tests these competing expectations using the U.S. Office of Management and Budget's 2025 Federal Agency AI Use Case Inventory. The analytic sample contains 368 publicly reportable pilot or deployed federal GenAI use cases across 26 agencies with observed PII and sourcing fields. Vendor-only sourcing appears in 71.3% of PII-involving cases and 38.2% of non-PII cases. In a linear probability model with agency, topic, development-stage, and high-impact controls, PII is associated with a 22.0-percentage-point increase in vendor-only sourcing. The direction is stable across every leave-one-identifying-agency-out estimate, although small-cluster inference remains uncertain: CR2/Satterthwaite inference gives p=.080, while a restricted wild-cluster bootstrap gives p=.044. Validation of 160 records shows that deployment architecture is unobservable in 95% of reviewed cases. The study therefore does not infer model openness, hosting, or data flow from sourcing mode. It contributes use-case-level evidence to AI governance, privacy, public procurement, and digital-government information-systems research.</w:t>
      </w:r>
    </w:p>
    <w:p w14:paraId="5792BCD2" w14:textId="77777777" w:rsidR="00652930" w:rsidRDefault="00652930" w:rsidP="00A51969">
      <w:pPr>
        <w:spacing w:after="0" w:line="240" w:lineRule="auto"/>
        <w:jc w:val="both"/>
        <w:rPr>
          <w:rFonts w:ascii="Arial" w:hAnsi="Arial" w:cs="Arial"/>
          <w:sz w:val="20"/>
          <w:szCs w:val="20"/>
        </w:rPr>
      </w:pPr>
    </w:p>
    <w:p w14:paraId="7C2A5DFF" w14:textId="59456DD0"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Denny Gunawan, Clairine Davina Keyne Setepen, Katya Aishara Riady, Naura Amelia Zahra and Mahda Karina. Artificial Intelligence-Driven Tax Compliance Architecture for Addressing Corporate Tax Avoidance</w:t>
      </w:r>
    </w:p>
    <w:p w14:paraId="0064F0EF" w14:textId="4F527C30"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Aggressive corporate tax planning has intensified alongside rapid globalization and digitalization, rendering traditional, rule-based auditing frameworks increasingly ineffective against complex corporate profit-shifting and transfer pricing practices. While academic interest in artificial intelligence (AI) continues to grow, existing studies remain fragmented and rarely present AI as an integrated tax compliance architecture for addressing structural fiscal challenges. This study develops an integrated conceptual framework for AI-driven </w:t>
      </w:r>
      <w:r w:rsidR="00C072F1" w:rsidRPr="00C072F1">
        <w:rPr>
          <w:rFonts w:ascii="Arial" w:hAnsi="Arial" w:cs="Arial"/>
          <w:sz w:val="20"/>
          <w:szCs w:val="20"/>
        </w:rPr>
        <w:lastRenderedPageBreak/>
        <w:t>tax compliance by synthesizing evidence from Scopus-indexed peer-reviewed studies. The proposed framework integrates multi-level institutional pressures, core AI mechanisms, including ensemble learning and social network analysis, moderating factors, and enforcement outcomes into a unified governance model. The synthesis indicates that AI-enabled compliance systems can improve audit precision, reduce corporate information asymmetry, and strengthen tax enforcement. However, successful implementation depends on institutional readiness, data infrastructure quality, and explainable AI mechanisms that preserve transparency, accountability, and administrative legitimacy. The proposed framework provides practical guidance for tax authorities seeking to modernize tax administration and enhance compliance capacity while offering a foundation for future empirical studies on AI-enabled tax governance and corporate tax avoidance.</w:t>
      </w:r>
    </w:p>
    <w:p w14:paraId="6A1C430E" w14:textId="77777777" w:rsidR="00652930" w:rsidRDefault="00652930" w:rsidP="00A51969">
      <w:pPr>
        <w:spacing w:after="0" w:line="240" w:lineRule="auto"/>
        <w:jc w:val="both"/>
        <w:rPr>
          <w:rFonts w:ascii="Arial" w:hAnsi="Arial" w:cs="Arial"/>
          <w:sz w:val="20"/>
          <w:szCs w:val="20"/>
        </w:rPr>
      </w:pPr>
    </w:p>
    <w:p w14:paraId="3B7BBD71" w14:textId="0A40918B"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Vinsensius Ricky Widjanarko and Kevin Deniswara. Understanding Financial Statement Fraud in ASEAN Banks through the Fraud Diamond Theory</w:t>
      </w:r>
    </w:p>
    <w:p w14:paraId="151F6FDF" w14:textId="1AEF4060"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This study investigates the determinants of financial statement fraud in ASEAN banking institutions during the 2015-2024 period using the Fraud Diamond Theory. Financial statement fraud is proxied by Discretionary Loan Loss Provision (DLLP), which captures managerial discretion in estimating loan loss provisions and is widely used to identify potential earnings manipulation in the banking sector. The sample consists of 117 listed banks across ASEAN countries selected through purposive sampling based on data availability and continuity of financial reporting. Secondary data were collected from annual reports and audited financial statements. The study examines the influence of pressure, opportunity, rationalization, and capability through proxies including financial stability, external pressure, nature of industry, ineffective monitoring, change in auditor, change in director, CEO experiences, and CEO Picture. Multiple regression analysis reveals that financial stability, external pressure, ineffective monitoring, change in auditor, and change in director significantly affect DLLP. In contrast, nature of industry and CEO Picture do not show a significant relationship with fraudulent financial reporting, while CEO experiences were excluded from the analysis due to insufficient variation in the data. The findings support the Fraud Diamond Theory by demonstrating that financial pressure, governance weaknesses, and organizational changes are important drivers of fraudulent financial reporting. This study contributes to the growing literature on fraud detection in the banking sector and provides practical insights for regulators, auditors, and financial institutions in strengthening governance mechanisms and reducing fraud risk.</w:t>
      </w:r>
    </w:p>
    <w:p w14:paraId="5B0FDA8F" w14:textId="77777777" w:rsidR="00652930" w:rsidRDefault="00652930" w:rsidP="00A51969">
      <w:pPr>
        <w:spacing w:after="0" w:line="240" w:lineRule="auto"/>
        <w:jc w:val="both"/>
        <w:rPr>
          <w:rFonts w:ascii="Arial" w:hAnsi="Arial" w:cs="Arial"/>
          <w:sz w:val="20"/>
          <w:szCs w:val="20"/>
        </w:rPr>
      </w:pPr>
    </w:p>
    <w:p w14:paraId="72137B60" w14:textId="280175C5"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Anthony Ndowo, Ilham Huseyinov and Mhd Wasim Raed. A Predictive Pipeline Maintenance Model to Improve Water Utility Efficiency</w:t>
      </w:r>
    </w:p>
    <w:p w14:paraId="70710902" w14:textId="02769F0D"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Water distribution networks are the backbone of urban infrastructure, but aging pipes keep the water utilities under pressure with frequent service interruptions, and rising costs of maintenance. Although machine learning has been used in pipe failure </w:t>
      </w:r>
      <w:proofErr w:type="gramStart"/>
      <w:r w:rsidR="00C072F1" w:rsidRPr="00C072F1">
        <w:rPr>
          <w:rFonts w:ascii="Arial" w:hAnsi="Arial" w:cs="Arial"/>
          <w:sz w:val="20"/>
          <w:szCs w:val="20"/>
        </w:rPr>
        <w:t>prediction</w:t>
      </w:r>
      <w:proofErr w:type="gramEnd"/>
      <w:r w:rsidR="00C072F1" w:rsidRPr="00C072F1">
        <w:rPr>
          <w:rFonts w:ascii="Arial" w:hAnsi="Arial" w:cs="Arial"/>
          <w:sz w:val="20"/>
          <w:szCs w:val="20"/>
        </w:rPr>
        <w:t xml:space="preserve"> but they focused on accuracy metric and pay no attention to missed failures, data leakage prevention, threshold optimization, and model interpretability. This study proposes the Recall Oriented Explainable Predictive Maintenance Framework (REPMF) that incorporates those gaps from existing literature. The research was performed on a </w:t>
      </w:r>
      <w:proofErr w:type="gramStart"/>
      <w:r w:rsidR="00C072F1" w:rsidRPr="00C072F1">
        <w:rPr>
          <w:rFonts w:ascii="Arial" w:hAnsi="Arial" w:cs="Arial"/>
          <w:sz w:val="20"/>
          <w:szCs w:val="20"/>
        </w:rPr>
        <w:t>large scale</w:t>
      </w:r>
      <w:proofErr w:type="gramEnd"/>
      <w:r w:rsidR="00C072F1" w:rsidRPr="00C072F1">
        <w:rPr>
          <w:rFonts w:ascii="Arial" w:hAnsi="Arial" w:cs="Arial"/>
          <w:sz w:val="20"/>
          <w:szCs w:val="20"/>
        </w:rPr>
        <w:t xml:space="preserve"> water infrastructure dataset of 300,000 pipeline records, comparing eight machine learning algorithms including LightGBM, XGBoost, Random Forest, CatBoost, Artificial Neural Network (ANN), Logistic Regression (LR), Support Vector Classifier (SVC), and Naive Bayes. The model development of CatBoost, XGBoost, and LightGBM showed comparably close performance. LightGBM was finally selected because it presented the best </w:t>
      </w:r>
      <w:proofErr w:type="gramStart"/>
      <w:r w:rsidR="00C072F1" w:rsidRPr="00C072F1">
        <w:rPr>
          <w:rFonts w:ascii="Arial" w:hAnsi="Arial" w:cs="Arial"/>
          <w:sz w:val="20"/>
          <w:szCs w:val="20"/>
        </w:rPr>
        <w:t>maintenance oriented</w:t>
      </w:r>
      <w:proofErr w:type="gramEnd"/>
      <w:r w:rsidR="00C072F1" w:rsidRPr="00C072F1">
        <w:rPr>
          <w:rFonts w:ascii="Arial" w:hAnsi="Arial" w:cs="Arial"/>
          <w:sz w:val="20"/>
          <w:szCs w:val="20"/>
        </w:rPr>
        <w:t xml:space="preserve"> objective at an optimized threshold of 0.189, ROC-AUC of 0.8692, PRAUC of 0.7906, recall of 0.9543, and F2-score of 0.8305. it identifies 22,803 high risk pipeline cases with only 1,093 missed cases on an independent test set. Furthermore, the REPMF configuration lowers false negatives by 82.30% compared to the baseline LightGBM model. According to SHAP analysis, the dominant predictors of failure risk are pipe age and material, followed by burial depth, diameter, water pH, and pipe length. These results prove that the REPMF is realistic, reliable, and interpretable in terms of a decision support framework for proactive water utility maintenance and </w:t>
      </w:r>
      <w:proofErr w:type="gramStart"/>
      <w:r w:rsidR="00C072F1" w:rsidRPr="00C072F1">
        <w:rPr>
          <w:rFonts w:ascii="Arial" w:hAnsi="Arial" w:cs="Arial"/>
          <w:sz w:val="20"/>
          <w:szCs w:val="20"/>
        </w:rPr>
        <w:t>risk based</w:t>
      </w:r>
      <w:proofErr w:type="gramEnd"/>
      <w:r w:rsidR="00C072F1" w:rsidRPr="00C072F1">
        <w:rPr>
          <w:rFonts w:ascii="Arial" w:hAnsi="Arial" w:cs="Arial"/>
          <w:sz w:val="20"/>
          <w:szCs w:val="20"/>
        </w:rPr>
        <w:t xml:space="preserve"> asset prioritization.</w:t>
      </w:r>
    </w:p>
    <w:p w14:paraId="08F7DDB7" w14:textId="77777777" w:rsidR="00652930" w:rsidRDefault="00652930" w:rsidP="00A51969">
      <w:pPr>
        <w:spacing w:after="0" w:line="240" w:lineRule="auto"/>
        <w:jc w:val="both"/>
        <w:rPr>
          <w:rFonts w:ascii="Arial" w:hAnsi="Arial" w:cs="Arial"/>
          <w:sz w:val="20"/>
          <w:szCs w:val="20"/>
        </w:rPr>
      </w:pPr>
    </w:p>
    <w:p w14:paraId="3B738A96" w14:textId="3E20BCCD"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Deden Witarsyah. COMPREHENSIVE EVOLUTION FRAMEWORK FOR TVET 5.0: INTEGRATING HUMAN-CENTRICITY AND DIGITAL SYMBIOSIS IN VOCATIONAL EDUCATION</w:t>
      </w:r>
    </w:p>
    <w:p w14:paraId="5A9875E1" w14:textId="3F20803F"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global paradigm for Technical and Vocational Education and Training (TVET) is undergoing a fundamental metamorphosis as societies transition from technology-driven Industry 4.0 automation toward the human-centric and sustainable imperatives of Industry 5.0 and Society 5.0. In modernizing economies like Malaysia, the traditional supply of labor is being replaced by a demand for resilient, ethical, and technologically proficient citizens. This report, based on analysis of current strategic frameworks, proposes the Comprehensive Evolution Framework for TVET 5.0 (CEF-T5.0) and its implementation architecture, the Strategic Architecture for Integrated TVET 5.0 (SAI-T5). By synthesizing eight foundational digital enablers adapted from European JRC benchmarks across four strategic pillars, this conceptual architecture establishes a new social contract designed to transform TVET institutions into agile, inclusive innovation hubs.</w:t>
      </w:r>
    </w:p>
    <w:p w14:paraId="58B8A1B7" w14:textId="77777777" w:rsidR="00652930" w:rsidRDefault="00652930" w:rsidP="00A51969">
      <w:pPr>
        <w:spacing w:after="0" w:line="240" w:lineRule="auto"/>
        <w:jc w:val="both"/>
        <w:rPr>
          <w:rFonts w:ascii="Arial" w:hAnsi="Arial" w:cs="Arial"/>
          <w:sz w:val="20"/>
          <w:szCs w:val="20"/>
        </w:rPr>
      </w:pPr>
    </w:p>
    <w:p w14:paraId="3958826D" w14:textId="3C6EA115" w:rsidR="00F15FF0" w:rsidRPr="00F15FF0" w:rsidRDefault="00F15FF0" w:rsidP="00F15FF0">
      <w:pPr>
        <w:spacing w:after="0" w:line="240" w:lineRule="auto"/>
        <w:jc w:val="both"/>
        <w:rPr>
          <w:rFonts w:ascii="Arial" w:hAnsi="Arial" w:cs="Arial"/>
          <w:sz w:val="20"/>
          <w:szCs w:val="20"/>
        </w:rPr>
      </w:pPr>
      <w:r w:rsidRPr="00F15FF0">
        <w:rPr>
          <w:rFonts w:ascii="Arial" w:hAnsi="Arial" w:cs="Arial"/>
          <w:sz w:val="20"/>
          <w:szCs w:val="20"/>
        </w:rPr>
        <w:t>Çağla Tuğberk Ariker and Adnan Duygun. Impacts of AI on Socioeconomic Sustainability</w:t>
      </w:r>
    </w:p>
    <w:p w14:paraId="5A4BA107" w14:textId="13907547" w:rsidR="00652930" w:rsidRDefault="00F15FF0" w:rsidP="00F15FF0">
      <w:pPr>
        <w:spacing w:after="0" w:line="240" w:lineRule="auto"/>
        <w:jc w:val="both"/>
        <w:rPr>
          <w:rFonts w:ascii="Arial" w:hAnsi="Arial" w:cs="Arial"/>
          <w:sz w:val="20"/>
          <w:szCs w:val="20"/>
        </w:rPr>
      </w:pPr>
      <w:r w:rsidRPr="00F15FF0">
        <w:rPr>
          <w:rFonts w:ascii="Arial" w:hAnsi="Arial" w:cs="Arial"/>
          <w:sz w:val="20"/>
          <w:szCs w:val="20"/>
        </w:rPr>
        <w:t>Abstract. Despite the rapidly expanding literature on artificial intelligence (AI), studies integrating both the negative and positive socioeconomic impacts of AI within the framework of the Sustainable Development Goals (SDGs) remain limited. This study addresses this gap by reviewing current literature and international reports on AI and socioeconomic sustainability. The review focuses on four risk categories from a negative perspective. These include inequality and bias; security, privacy and trust risks; employment displacement and workforce transition risks; and finally, ethical and governance challenges. These risks can negatively impact the SDGs related to reduced inequalities; peace, justice and strong institutions; decent work and economic growth; good health and well-being; and quality education. Despite these risks, AI also makes a positive contribution to socioeconomic sustainability in all five areas. These are business performance and economic prosperity; health and quality of life; agriculture and food security; education and human development; and transport safety and mobility. These positive contributions support the SDGs related to decent work and economic growth; health and well-being; zero hunger; quality education; and sustainable cities. Based on the findings, it is possible to state that AI both hinders and supports sustainable development. This study integrates the negative and positive aspects of artificial intelligence within the framework of the Sustainable Development Goals, offering researchers, policymakers, and practitioners a perspective on developing more sustainable AI strategies.</w:t>
      </w:r>
    </w:p>
    <w:p w14:paraId="0EB596F1" w14:textId="77777777" w:rsidR="00F15FF0" w:rsidRDefault="00F15FF0" w:rsidP="00F15FF0">
      <w:pPr>
        <w:spacing w:after="0" w:line="240" w:lineRule="auto"/>
        <w:jc w:val="both"/>
        <w:rPr>
          <w:rFonts w:ascii="Arial" w:hAnsi="Arial" w:cs="Arial"/>
          <w:sz w:val="20"/>
          <w:szCs w:val="20"/>
        </w:rPr>
      </w:pPr>
    </w:p>
    <w:p w14:paraId="27DF120C" w14:textId="4C1EF28B"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Danarto Tri Sasongko, Harco Leslie Hendric Spits Warnars, Yohannes Kurniawan, Sfenrianto Sfenrianto and Harjanto Prabowo. Mapping Trustworthy Retrieval-Augmented Generation: A Multidimensional Landscape Across Pipeline Stages</w:t>
      </w:r>
    </w:p>
    <w:p w14:paraId="3FA378A5" w14:textId="3C58CA1E"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Abstract. RAG enhances Large Language Models (LLMs) by retrieving external</w:t>
      </w:r>
      <w:r w:rsidR="00CA5C33">
        <w:rPr>
          <w:rFonts w:ascii="Arial" w:hAnsi="Arial" w:cs="Arial"/>
          <w:sz w:val="20"/>
          <w:szCs w:val="20"/>
        </w:rPr>
        <w:t xml:space="preserve"> </w:t>
      </w:r>
      <w:r w:rsidR="00C072F1" w:rsidRPr="00C072F1">
        <w:rPr>
          <w:rFonts w:ascii="Arial" w:hAnsi="Arial" w:cs="Arial"/>
          <w:sz w:val="20"/>
          <w:szCs w:val="20"/>
        </w:rPr>
        <w:t>knowledge to reduce hallucinations. However, RAG deployment introduces</w:t>
      </w:r>
      <w:r w:rsidR="00CA5C33">
        <w:rPr>
          <w:rFonts w:ascii="Arial" w:hAnsi="Arial" w:cs="Arial"/>
          <w:sz w:val="20"/>
          <w:szCs w:val="20"/>
        </w:rPr>
        <w:t xml:space="preserve"> </w:t>
      </w:r>
      <w:r w:rsidR="00C072F1" w:rsidRPr="00C072F1">
        <w:rPr>
          <w:rFonts w:ascii="Arial" w:hAnsi="Arial" w:cs="Arial"/>
          <w:sz w:val="20"/>
          <w:szCs w:val="20"/>
        </w:rPr>
        <w:t>both technical and ethical challenges in areas such as cybersecurity, privacy, bias,</w:t>
      </w:r>
      <w:r w:rsidR="00CA5C33">
        <w:rPr>
          <w:rFonts w:ascii="Arial" w:hAnsi="Arial" w:cs="Arial"/>
          <w:sz w:val="20"/>
          <w:szCs w:val="20"/>
        </w:rPr>
        <w:t xml:space="preserve"> </w:t>
      </w:r>
      <w:r w:rsidR="00C072F1" w:rsidRPr="00C072F1">
        <w:rPr>
          <w:rFonts w:ascii="Arial" w:hAnsi="Arial" w:cs="Arial"/>
          <w:sz w:val="20"/>
          <w:szCs w:val="20"/>
        </w:rPr>
        <w:t>and explainability, which affect user trust. Prior surveys describe RAG implementation</w:t>
      </w:r>
      <w:r w:rsidR="00CA5C33">
        <w:rPr>
          <w:rFonts w:ascii="Arial" w:hAnsi="Arial" w:cs="Arial"/>
          <w:sz w:val="20"/>
          <w:szCs w:val="20"/>
        </w:rPr>
        <w:t xml:space="preserve"> </w:t>
      </w:r>
      <w:r w:rsidR="00C072F1" w:rsidRPr="00C072F1">
        <w:rPr>
          <w:rFonts w:ascii="Arial" w:hAnsi="Arial" w:cs="Arial"/>
          <w:sz w:val="20"/>
          <w:szCs w:val="20"/>
        </w:rPr>
        <w:t>techniques but rarely map them systematically to international</w:t>
      </w:r>
      <w:r w:rsidR="00CA5C33">
        <w:rPr>
          <w:rFonts w:ascii="Arial" w:hAnsi="Arial" w:cs="Arial"/>
          <w:sz w:val="20"/>
          <w:szCs w:val="20"/>
        </w:rPr>
        <w:t xml:space="preserve"> </w:t>
      </w:r>
      <w:r w:rsidR="00C072F1" w:rsidRPr="00C072F1">
        <w:rPr>
          <w:rFonts w:ascii="Arial" w:hAnsi="Arial" w:cs="Arial"/>
          <w:sz w:val="20"/>
          <w:szCs w:val="20"/>
        </w:rPr>
        <w:t>trustworthy AI standards,</w:t>
      </w:r>
      <w:r w:rsidR="00CA5C33">
        <w:rPr>
          <w:rFonts w:ascii="Arial" w:hAnsi="Arial" w:cs="Arial"/>
          <w:sz w:val="20"/>
          <w:szCs w:val="20"/>
        </w:rPr>
        <w:t xml:space="preserve"> </w:t>
      </w:r>
      <w:r w:rsidR="00C072F1" w:rsidRPr="00C072F1">
        <w:rPr>
          <w:rFonts w:ascii="Arial" w:hAnsi="Arial" w:cs="Arial"/>
          <w:sz w:val="20"/>
          <w:szCs w:val="20"/>
        </w:rPr>
        <w:t>particularly the NIST AI Risk Management Framework</w:t>
      </w:r>
      <w:r w:rsidR="00CA5C33">
        <w:rPr>
          <w:rFonts w:ascii="Arial" w:hAnsi="Arial" w:cs="Arial"/>
          <w:sz w:val="20"/>
          <w:szCs w:val="20"/>
        </w:rPr>
        <w:t xml:space="preserve"> </w:t>
      </w:r>
      <w:r w:rsidR="00C072F1" w:rsidRPr="00C072F1">
        <w:rPr>
          <w:rFonts w:ascii="Arial" w:hAnsi="Arial" w:cs="Arial"/>
          <w:sz w:val="20"/>
          <w:szCs w:val="20"/>
        </w:rPr>
        <w:t>and the EU AI HLEG Ethics Guidelines. This study synthesizes both</w:t>
      </w:r>
      <w:r w:rsidR="00CA5C33">
        <w:rPr>
          <w:rFonts w:ascii="Arial" w:hAnsi="Arial" w:cs="Arial"/>
          <w:sz w:val="20"/>
          <w:szCs w:val="20"/>
        </w:rPr>
        <w:t xml:space="preserve"> </w:t>
      </w:r>
      <w:r w:rsidR="00C072F1" w:rsidRPr="00C072F1">
        <w:rPr>
          <w:rFonts w:ascii="Arial" w:hAnsi="Arial" w:cs="Arial"/>
          <w:sz w:val="20"/>
          <w:szCs w:val="20"/>
        </w:rPr>
        <w:t>standards into five unified dimensions, namely Robustness-Validity-Reliability</w:t>
      </w:r>
      <w:r w:rsidR="00CA5C33">
        <w:rPr>
          <w:rFonts w:ascii="Arial" w:hAnsi="Arial" w:cs="Arial"/>
          <w:sz w:val="20"/>
          <w:szCs w:val="20"/>
        </w:rPr>
        <w:t xml:space="preserve"> </w:t>
      </w:r>
      <w:r w:rsidR="00C072F1" w:rsidRPr="00C072F1">
        <w:rPr>
          <w:rFonts w:ascii="Arial" w:hAnsi="Arial" w:cs="Arial"/>
          <w:sz w:val="20"/>
          <w:szCs w:val="20"/>
        </w:rPr>
        <w:t>(RVR), Safety-Security (SS), Privacy, Transparency-Explainability-</w:t>
      </w:r>
      <w:r w:rsidR="00CA5C33">
        <w:rPr>
          <w:rFonts w:ascii="Arial" w:hAnsi="Arial" w:cs="Arial"/>
          <w:sz w:val="20"/>
          <w:szCs w:val="20"/>
        </w:rPr>
        <w:t xml:space="preserve"> </w:t>
      </w:r>
      <w:r w:rsidR="00C072F1" w:rsidRPr="00C072F1">
        <w:rPr>
          <w:rFonts w:ascii="Arial" w:hAnsi="Arial" w:cs="Arial"/>
          <w:sz w:val="20"/>
          <w:szCs w:val="20"/>
        </w:rPr>
        <w:t>Interpretability-Accountability (TEIA), and Fairness. To address this gap, we</w:t>
      </w:r>
      <w:r w:rsidR="00CA5C33">
        <w:rPr>
          <w:rFonts w:ascii="Arial" w:hAnsi="Arial" w:cs="Arial"/>
          <w:sz w:val="20"/>
          <w:szCs w:val="20"/>
        </w:rPr>
        <w:t xml:space="preserve"> </w:t>
      </w:r>
      <w:r w:rsidR="00C072F1" w:rsidRPr="00C072F1">
        <w:rPr>
          <w:rFonts w:ascii="Arial" w:hAnsi="Arial" w:cs="Arial"/>
          <w:sz w:val="20"/>
          <w:szCs w:val="20"/>
        </w:rPr>
        <w:t>conducted a PRISMA-based Systematic Literature Review (SLR) of 34 Scopusindexed</w:t>
      </w:r>
      <w:r w:rsidR="00CA5C33">
        <w:rPr>
          <w:rFonts w:ascii="Arial" w:hAnsi="Arial" w:cs="Arial"/>
          <w:sz w:val="20"/>
          <w:szCs w:val="20"/>
        </w:rPr>
        <w:t xml:space="preserve"> </w:t>
      </w:r>
      <w:r w:rsidR="00C072F1" w:rsidRPr="00C072F1">
        <w:rPr>
          <w:rFonts w:ascii="Arial" w:hAnsi="Arial" w:cs="Arial"/>
          <w:sz w:val="20"/>
          <w:szCs w:val="20"/>
        </w:rPr>
        <w:t>studies to map trustworthiness techniques across four RAG pipeline</w:t>
      </w:r>
      <w:r w:rsidR="00CA5C33">
        <w:rPr>
          <w:rFonts w:ascii="Arial" w:hAnsi="Arial" w:cs="Arial"/>
          <w:sz w:val="20"/>
          <w:szCs w:val="20"/>
        </w:rPr>
        <w:t xml:space="preserve"> </w:t>
      </w:r>
      <w:r w:rsidR="00C072F1" w:rsidRPr="00C072F1">
        <w:rPr>
          <w:rFonts w:ascii="Arial" w:hAnsi="Arial" w:cs="Arial"/>
          <w:sz w:val="20"/>
          <w:szCs w:val="20"/>
        </w:rPr>
        <w:t>stages: pre-retrieval, retrieval, post-retrieval, and generation. The findings reveal</w:t>
      </w:r>
      <w:r w:rsidR="00CA5C33">
        <w:rPr>
          <w:rFonts w:ascii="Arial" w:hAnsi="Arial" w:cs="Arial"/>
          <w:sz w:val="20"/>
          <w:szCs w:val="20"/>
        </w:rPr>
        <w:t xml:space="preserve"> </w:t>
      </w:r>
      <w:r w:rsidR="00C072F1" w:rsidRPr="00C072F1">
        <w:rPr>
          <w:rFonts w:ascii="Arial" w:hAnsi="Arial" w:cs="Arial"/>
          <w:sz w:val="20"/>
          <w:szCs w:val="20"/>
        </w:rPr>
        <w:t>that only 6 of the 34 studies address more than one dimension, Fairness</w:t>
      </w:r>
      <w:r w:rsidR="00CA5C33">
        <w:rPr>
          <w:rFonts w:ascii="Arial" w:hAnsi="Arial" w:cs="Arial"/>
          <w:sz w:val="20"/>
          <w:szCs w:val="20"/>
        </w:rPr>
        <w:t xml:space="preserve"> </w:t>
      </w:r>
      <w:r w:rsidR="00C072F1" w:rsidRPr="00C072F1">
        <w:rPr>
          <w:rFonts w:ascii="Arial" w:hAnsi="Arial" w:cs="Arial"/>
          <w:sz w:val="20"/>
          <w:szCs w:val="20"/>
        </w:rPr>
        <w:t>remains the least explored, and evaluation rarely integrates automated metrics</w:t>
      </w:r>
      <w:r w:rsidR="00CA5C33">
        <w:rPr>
          <w:rFonts w:ascii="Arial" w:hAnsi="Arial" w:cs="Arial"/>
          <w:sz w:val="20"/>
          <w:szCs w:val="20"/>
        </w:rPr>
        <w:t xml:space="preserve"> </w:t>
      </w:r>
      <w:r w:rsidR="00C072F1" w:rsidRPr="00C072F1">
        <w:rPr>
          <w:rFonts w:ascii="Arial" w:hAnsi="Arial" w:cs="Arial"/>
          <w:sz w:val="20"/>
          <w:szCs w:val="20"/>
        </w:rPr>
        <w:t>with human assessment across dimensions, indicating that current research remains</w:t>
      </w:r>
      <w:r w:rsidR="00CA5C33">
        <w:rPr>
          <w:rFonts w:ascii="Arial" w:hAnsi="Arial" w:cs="Arial"/>
          <w:sz w:val="20"/>
          <w:szCs w:val="20"/>
        </w:rPr>
        <w:t xml:space="preserve"> </w:t>
      </w:r>
      <w:r w:rsidR="00C072F1" w:rsidRPr="00C072F1">
        <w:rPr>
          <w:rFonts w:ascii="Arial" w:hAnsi="Arial" w:cs="Arial"/>
          <w:sz w:val="20"/>
          <w:szCs w:val="20"/>
        </w:rPr>
        <w:t>fragmented. This study contributes a taxonomy that maps techniques</w:t>
      </w:r>
      <w:r w:rsidR="00CA5C33">
        <w:rPr>
          <w:rFonts w:ascii="Arial" w:hAnsi="Arial" w:cs="Arial"/>
          <w:sz w:val="20"/>
          <w:szCs w:val="20"/>
        </w:rPr>
        <w:t xml:space="preserve"> </w:t>
      </w:r>
      <w:r w:rsidR="00C072F1" w:rsidRPr="00C072F1">
        <w:rPr>
          <w:rFonts w:ascii="Arial" w:hAnsi="Arial" w:cs="Arial"/>
          <w:sz w:val="20"/>
          <w:szCs w:val="20"/>
        </w:rPr>
        <w:t>across trustworthiness dimensions and pipeline stages, providing researchers</w:t>
      </w:r>
      <w:r w:rsidR="00CA5C33">
        <w:rPr>
          <w:rFonts w:ascii="Arial" w:hAnsi="Arial" w:cs="Arial"/>
          <w:sz w:val="20"/>
          <w:szCs w:val="20"/>
        </w:rPr>
        <w:t xml:space="preserve"> </w:t>
      </w:r>
      <w:r w:rsidR="00C072F1" w:rsidRPr="00C072F1">
        <w:rPr>
          <w:rFonts w:ascii="Arial" w:hAnsi="Arial" w:cs="Arial"/>
          <w:sz w:val="20"/>
          <w:szCs w:val="20"/>
        </w:rPr>
        <w:t>with a landscape for identifying underexplored areas and practitioners in selecting</w:t>
      </w:r>
      <w:r w:rsidR="00CA5C33">
        <w:rPr>
          <w:rFonts w:ascii="Arial" w:hAnsi="Arial" w:cs="Arial"/>
          <w:sz w:val="20"/>
          <w:szCs w:val="20"/>
        </w:rPr>
        <w:t xml:space="preserve"> </w:t>
      </w:r>
      <w:r w:rsidR="00C072F1" w:rsidRPr="00C072F1">
        <w:rPr>
          <w:rFonts w:ascii="Arial" w:hAnsi="Arial" w:cs="Arial"/>
          <w:sz w:val="20"/>
          <w:szCs w:val="20"/>
        </w:rPr>
        <w:t>techniques for more trustworthy RAG implementation.</w:t>
      </w:r>
    </w:p>
    <w:p w14:paraId="0FB5CA4F" w14:textId="77777777" w:rsidR="00652930" w:rsidRDefault="00652930" w:rsidP="00A51969">
      <w:pPr>
        <w:spacing w:after="0" w:line="240" w:lineRule="auto"/>
        <w:jc w:val="both"/>
        <w:rPr>
          <w:rFonts w:ascii="Arial" w:hAnsi="Arial" w:cs="Arial"/>
          <w:sz w:val="20"/>
          <w:szCs w:val="20"/>
        </w:rPr>
      </w:pPr>
    </w:p>
    <w:p w14:paraId="7D58252F" w14:textId="10A471FE"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Alı Özbek. Reviewing Publications on The Use of Artificial Intelligence in Cost Accounting Systems Using WOSviewer</w:t>
      </w:r>
    </w:p>
    <w:p w14:paraId="399774B6" w14:textId="28EE6FDE" w:rsidR="00C072F1" w:rsidRPr="00C072F1"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aim of this research is to examine the international scientific literature on the use of artificial intelligence in cost accounting systems using bibliometric methods. A search was conducted on June 22, 2026, using the keyword "The Use of Artificial Intelligence in Cost Accounting Systems," yielding 660 publications. The years 2020-2025 were selected, and 426 publications were evaluated. The highest number of publications occurred in 2025 with 78 publications and 2962 citations. Computer Sciences Information Systems leads with 68 publications. Globally, Good, Healthy, and Well-being is the leading publication with 75 publications. WOS.SCI is in first place with 227 publications. 441 of the publications were in English. Bottino Verdiana, Del Prete Francesco, and Ruggiero Davide are close to the network's center in terms of co-authorship. Saudi Electronic University has numerous collaborative projects with other universities. China is central, but it is connected to all other countries. The US and Saudi Arabia have made significant contributions in recent years. The most frequently occurring keyword is "Artificial intelligence," with 35 occurrences and 180 total links. This is followed by "accounting," with 8 occurrences and 44 total links. This study will fill gaps in the literature on the use of artificial intelligence in cost accounting systems and contribute to the field.</w:t>
      </w:r>
    </w:p>
    <w:p w14:paraId="796E1EE7" w14:textId="77777777" w:rsidR="00652930" w:rsidRDefault="00652930" w:rsidP="00A51969">
      <w:pPr>
        <w:spacing w:after="0" w:line="240" w:lineRule="auto"/>
        <w:jc w:val="both"/>
        <w:rPr>
          <w:rFonts w:ascii="Arial" w:hAnsi="Arial" w:cs="Arial"/>
          <w:sz w:val="20"/>
          <w:szCs w:val="20"/>
        </w:rPr>
      </w:pPr>
    </w:p>
    <w:p w14:paraId="02652E88" w14:textId="3DDD9A1D" w:rsidR="00C072F1" w:rsidRPr="00C072F1" w:rsidRDefault="00C072F1" w:rsidP="00A51969">
      <w:pPr>
        <w:spacing w:after="0" w:line="240" w:lineRule="auto"/>
        <w:jc w:val="both"/>
        <w:rPr>
          <w:rFonts w:ascii="Arial" w:hAnsi="Arial" w:cs="Arial"/>
          <w:sz w:val="20"/>
          <w:szCs w:val="20"/>
        </w:rPr>
      </w:pPr>
      <w:r w:rsidRPr="00C072F1">
        <w:rPr>
          <w:rFonts w:ascii="Arial" w:hAnsi="Arial" w:cs="Arial"/>
          <w:sz w:val="20"/>
          <w:szCs w:val="20"/>
        </w:rPr>
        <w:t>Indriati I. A Comparative Study of BERTopic and Top2Vec for As-pect-Based Sentiment Analysis on Public Opinion To-ward Indonesia’s New Capital City Development</w:t>
      </w:r>
    </w:p>
    <w:p w14:paraId="5BD59A9A" w14:textId="4D49336E" w:rsidR="00C751C2" w:rsidRDefault="007157A4" w:rsidP="00A51969">
      <w:pPr>
        <w:spacing w:after="0" w:line="240" w:lineRule="auto"/>
        <w:jc w:val="both"/>
        <w:rPr>
          <w:rFonts w:ascii="Arial" w:hAnsi="Arial" w:cs="Arial"/>
          <w:sz w:val="20"/>
          <w:szCs w:val="20"/>
        </w:rPr>
      </w:pPr>
      <w:r>
        <w:rPr>
          <w:rFonts w:ascii="Arial" w:hAnsi="Arial" w:cs="Arial"/>
          <w:sz w:val="20"/>
          <w:szCs w:val="20"/>
        </w:rPr>
        <w:t>Abstract:</w:t>
      </w:r>
      <w:r w:rsidR="00C072F1" w:rsidRPr="00C072F1">
        <w:rPr>
          <w:rFonts w:ascii="Arial" w:hAnsi="Arial" w:cs="Arial"/>
          <w:sz w:val="20"/>
          <w:szCs w:val="20"/>
        </w:rPr>
        <w:t xml:space="preserve"> The development of Indonesia’s new capital city Ibu Kota Nusantara (IKN) has become one of the country’s most strategic national projects, generating widespread public discourse across social media platforms. Understanding these public opinions is crucial for policymakers, particularly in identifying specific concerns beyond general sentiment polarity. Aspect-Based Sentiment Analysis (ABSA) provides a fine-grained approach by extracting aspects dis-cussed within textual opinions. Topic modeling has become a key </w:t>
      </w:r>
      <w:r w:rsidR="00C072F1" w:rsidRPr="00C072F1">
        <w:rPr>
          <w:rFonts w:ascii="Arial" w:hAnsi="Arial" w:cs="Arial"/>
          <w:sz w:val="20"/>
          <w:szCs w:val="20"/>
        </w:rPr>
        <w:lastRenderedPageBreak/>
        <w:t>mechanism for aspect extraction, with recent embedding-based methods such as BERTopic and Top2Vec showing promising performance. However, their comparative ef-fectiveness in public policy discourse remains underexplored. This study pre-sents a controlled comparative analysis of BERTopic and Top2Vec using the same dataset of public opinions collected from X regarding Indonesia’s new capital city development. The evaluation combines quantitative analysis using topic coherence scores and qualitative assessment of topic interpretability. Ex-perimental results show that Top2Vec achieved the highest coherence score of 0.5136 in the negative sentiment subset, while BERTopic demonstrated more stable performance across the global corpus with a coherence score of 0.4758. Furthermore, BERTopic produced more interpretable macro-level policy as-pects, whereas Top2Vec excelled in identifying semantically dense critical nar-ratives. These findings indicate that BERTopic is more suitable for structured policy analysis, while Top2Vec is advantageous for exploratory sentiment-specific analysis.</w:t>
      </w:r>
    </w:p>
    <w:p w14:paraId="473EA3AA" w14:textId="77777777" w:rsidR="007157A4" w:rsidRDefault="007157A4" w:rsidP="00A51969">
      <w:pPr>
        <w:spacing w:after="0" w:line="240" w:lineRule="auto"/>
        <w:jc w:val="both"/>
        <w:rPr>
          <w:rFonts w:ascii="Arial" w:hAnsi="Arial" w:cs="Arial"/>
          <w:sz w:val="20"/>
          <w:szCs w:val="20"/>
        </w:rPr>
      </w:pPr>
    </w:p>
    <w:p w14:paraId="287A30D2" w14:textId="77777777" w:rsidR="007157A4" w:rsidRPr="007157A4" w:rsidRDefault="007157A4" w:rsidP="00A51969">
      <w:pPr>
        <w:spacing w:after="0" w:line="240" w:lineRule="auto"/>
        <w:jc w:val="both"/>
        <w:rPr>
          <w:rFonts w:ascii="Arial" w:hAnsi="Arial" w:cs="Arial"/>
          <w:sz w:val="20"/>
          <w:szCs w:val="20"/>
        </w:rPr>
      </w:pPr>
      <w:r w:rsidRPr="007157A4">
        <w:rPr>
          <w:rFonts w:ascii="Arial" w:hAnsi="Arial" w:cs="Arial"/>
          <w:sz w:val="20"/>
          <w:szCs w:val="20"/>
        </w:rPr>
        <w:t>Cansu Türker. AI Literacy and the Digital Divide: A Multi-Layered Synthesis and Future Research Agenda</w:t>
      </w:r>
    </w:p>
    <w:p w14:paraId="72AFB1DE" w14:textId="4EC32747" w:rsidR="007157A4" w:rsidRDefault="007157A4" w:rsidP="00A51969">
      <w:pPr>
        <w:spacing w:after="0" w:line="240" w:lineRule="auto"/>
        <w:jc w:val="both"/>
        <w:rPr>
          <w:rFonts w:ascii="Arial" w:hAnsi="Arial" w:cs="Arial"/>
          <w:sz w:val="20"/>
          <w:szCs w:val="20"/>
        </w:rPr>
      </w:pPr>
      <w:r w:rsidRPr="007157A4">
        <w:rPr>
          <w:rFonts w:ascii="Arial" w:hAnsi="Arial" w:cs="Arial"/>
          <w:sz w:val="20"/>
          <w:szCs w:val="20"/>
        </w:rPr>
        <w:t>Abstract:</w:t>
      </w:r>
      <w:r w:rsidRPr="007157A4">
        <w:rPr>
          <w:rFonts w:ascii="Arial" w:hAnsi="Arial" w:cs="Arial"/>
          <w:b/>
          <w:bCs/>
          <w:sz w:val="20"/>
          <w:szCs w:val="20"/>
        </w:rPr>
        <w:t xml:space="preserve"> </w:t>
      </w:r>
      <w:r w:rsidRPr="007157A4">
        <w:rPr>
          <w:rFonts w:ascii="Arial" w:hAnsi="Arial" w:cs="Arial"/>
          <w:sz w:val="20"/>
          <w:szCs w:val="20"/>
        </w:rPr>
        <w:t xml:space="preserve">The incorporation of artificial intelligence into every sphere of life has in-troduced new forms of inequality at individual and societal levels. Howev-er, the two bodies of scholarship addressing these inequalities, AI literacy and digital divide research, have evolved largely on separate tracks. This study integrates the two fields through a two-stage design: a bibliometric analysis of 948 AI literacy and 9,470 digital divide articles maps </w:t>
      </w:r>
      <w:proofErr w:type="gramStart"/>
      <w:r w:rsidRPr="007157A4">
        <w:rPr>
          <w:rFonts w:ascii="Arial" w:hAnsi="Arial" w:cs="Arial"/>
          <w:sz w:val="20"/>
          <w:szCs w:val="20"/>
        </w:rPr>
        <w:t>their</w:t>
      </w:r>
      <w:proofErr w:type="gramEnd"/>
      <w:r w:rsidRPr="007157A4">
        <w:rPr>
          <w:rFonts w:ascii="Arial" w:hAnsi="Arial" w:cs="Arial"/>
          <w:sz w:val="20"/>
          <w:szCs w:val="20"/>
        </w:rPr>
        <w:t xml:space="preserve"> his-torical development and thematic evolution, and a systematic review of 32 studies at their intersection, conducted following PRISMA 2020 </w:t>
      </w:r>
      <w:proofErr w:type="gramStart"/>
      <w:r w:rsidRPr="007157A4">
        <w:rPr>
          <w:rFonts w:ascii="Arial" w:hAnsi="Arial" w:cs="Arial"/>
          <w:sz w:val="20"/>
          <w:szCs w:val="20"/>
        </w:rPr>
        <w:t>guide-lines</w:t>
      </w:r>
      <w:proofErr w:type="gramEnd"/>
      <w:r w:rsidRPr="007157A4">
        <w:rPr>
          <w:rFonts w:ascii="Arial" w:hAnsi="Arial" w:cs="Arial"/>
          <w:sz w:val="20"/>
          <w:szCs w:val="20"/>
        </w:rPr>
        <w:t>, synthesizes theories, contexts, characteristics, and methods using the TCCM framework. The findings show that the two fields converge on the same underlying problem of technological inequality and are complemen-tary: AI literacy captures micro-level individual competencies, while the digital di-vide captures macro-level structural outcomes. Building on this integrated perspective, the study proposes a structured research agenda that translates theoretical, contextual, thematic, and methodological gaps into concrete re-search directions and questions.</w:t>
      </w:r>
    </w:p>
    <w:p w14:paraId="0CA8A7F8" w14:textId="77777777" w:rsidR="00362E9D" w:rsidRDefault="00362E9D" w:rsidP="00A51969">
      <w:pPr>
        <w:spacing w:after="0" w:line="240" w:lineRule="auto"/>
        <w:jc w:val="both"/>
        <w:rPr>
          <w:rFonts w:ascii="Arial" w:hAnsi="Arial" w:cs="Arial"/>
          <w:sz w:val="20"/>
          <w:szCs w:val="20"/>
        </w:rPr>
      </w:pPr>
    </w:p>
    <w:p w14:paraId="546D8445" w14:textId="77777777" w:rsidR="00A95F91" w:rsidRDefault="005350EA" w:rsidP="005350EA">
      <w:pPr>
        <w:spacing w:after="0" w:line="240" w:lineRule="auto"/>
        <w:jc w:val="both"/>
      </w:pPr>
      <w:r w:rsidRPr="005350EA">
        <w:rPr>
          <w:rFonts w:ascii="Arial" w:hAnsi="Arial" w:cs="Arial"/>
          <w:sz w:val="20"/>
          <w:szCs w:val="20"/>
        </w:rPr>
        <w:t>Gracia Gavrilla Amelia Adarta, Richard Richard and Mohamad Heykal. Accounting System Digitalization and Corporate Governance as Determinants of Notes to Financial Statements Disclosure Quality. Abstract: This study aims to analyze the effects of accounting system digitization and corporate governance quality on the quality of Notes to the Financial</w:t>
      </w:r>
      <w:r>
        <w:rPr>
          <w:rFonts w:ascii="Arial" w:hAnsi="Arial" w:cs="Arial"/>
          <w:sz w:val="20"/>
          <w:szCs w:val="20"/>
        </w:rPr>
        <w:t xml:space="preserve"> </w:t>
      </w:r>
      <w:r w:rsidRPr="005350EA">
        <w:rPr>
          <w:rFonts w:ascii="Arial" w:hAnsi="Arial" w:cs="Arial"/>
          <w:sz w:val="20"/>
          <w:szCs w:val="20"/>
        </w:rPr>
        <w:t>Statements in manufacturing companies listed on the Indonesia Stock Exchange</w:t>
      </w:r>
      <w:r>
        <w:rPr>
          <w:rFonts w:ascii="Arial" w:hAnsi="Arial" w:cs="Arial"/>
          <w:sz w:val="20"/>
          <w:szCs w:val="20"/>
        </w:rPr>
        <w:t xml:space="preserve"> </w:t>
      </w:r>
      <w:r w:rsidRPr="005350EA">
        <w:rPr>
          <w:rFonts w:ascii="Arial" w:hAnsi="Arial" w:cs="Arial"/>
          <w:sz w:val="20"/>
          <w:szCs w:val="20"/>
        </w:rPr>
        <w:t>for the 2021–2024 period. Accounting system digitalization is proxied using the</w:t>
      </w:r>
      <w:r>
        <w:rPr>
          <w:rFonts w:ascii="Arial" w:hAnsi="Arial" w:cs="Arial"/>
          <w:sz w:val="20"/>
          <w:szCs w:val="20"/>
        </w:rPr>
        <w:t xml:space="preserve"> </w:t>
      </w:r>
      <w:r w:rsidRPr="005350EA">
        <w:rPr>
          <w:rFonts w:ascii="Arial" w:hAnsi="Arial" w:cs="Arial"/>
          <w:sz w:val="20"/>
          <w:szCs w:val="20"/>
        </w:rPr>
        <w:t>software-to-intangible-assets ratio, while corporate governance quality is measured using the Corporate Governance Quality Index. The quality of Notes to the</w:t>
      </w:r>
      <w:r>
        <w:rPr>
          <w:rFonts w:ascii="Arial" w:hAnsi="Arial" w:cs="Arial"/>
          <w:sz w:val="20"/>
          <w:szCs w:val="20"/>
        </w:rPr>
        <w:t xml:space="preserve"> </w:t>
      </w:r>
      <w:r w:rsidRPr="005350EA">
        <w:rPr>
          <w:rFonts w:ascii="Arial" w:hAnsi="Arial" w:cs="Arial"/>
          <w:sz w:val="20"/>
          <w:szCs w:val="20"/>
        </w:rPr>
        <w:t>Financial Statements is measured using an item-based disclosure index based onrelevant PSAKs. The findings revealed that the digitization of accounting systems and the quality of corporate governance have a positive and significant impact on the quality of financial statement disclosure. This study shows that digitaltransformation will be more effective in improving disclosure quality if supported by effective corporate governance mechanisms.</w:t>
      </w:r>
      <w:r w:rsidR="00A95F91" w:rsidRPr="00A95F91">
        <w:t xml:space="preserve"> </w:t>
      </w:r>
    </w:p>
    <w:p w14:paraId="064911A5" w14:textId="77777777" w:rsidR="00A95F91" w:rsidRDefault="00A95F91" w:rsidP="005350EA">
      <w:pPr>
        <w:spacing w:after="0" w:line="240" w:lineRule="auto"/>
        <w:jc w:val="both"/>
      </w:pPr>
    </w:p>
    <w:p w14:paraId="70651377" w14:textId="18D7443E" w:rsidR="00362E9D" w:rsidRPr="007157A4" w:rsidRDefault="00A95F91" w:rsidP="005350EA">
      <w:pPr>
        <w:spacing w:after="0" w:line="240" w:lineRule="auto"/>
        <w:jc w:val="both"/>
        <w:rPr>
          <w:rFonts w:ascii="Arial" w:hAnsi="Arial" w:cs="Arial"/>
          <w:sz w:val="20"/>
          <w:szCs w:val="20"/>
        </w:rPr>
      </w:pPr>
      <w:r w:rsidRPr="00A95F91">
        <w:rPr>
          <w:rFonts w:ascii="Arial" w:hAnsi="Arial" w:cs="Arial"/>
          <w:sz w:val="20"/>
          <w:szCs w:val="20"/>
        </w:rPr>
        <w:t xml:space="preserve">Gabrielle Hutomo, Devyano Luhukay and Kevin Deniswara. Factors Influencing Indonesia’s Young Generations in Interest to Use Digital Investment </w:t>
      </w:r>
      <w:proofErr w:type="gramStart"/>
      <w:r w:rsidRPr="00A95F91">
        <w:rPr>
          <w:rFonts w:ascii="Arial" w:hAnsi="Arial" w:cs="Arial"/>
          <w:sz w:val="20"/>
          <w:szCs w:val="20"/>
        </w:rPr>
        <w:t xml:space="preserve">Applications </w:t>
      </w:r>
      <w:r>
        <w:rPr>
          <w:rFonts w:ascii="Arial" w:hAnsi="Arial" w:cs="Arial"/>
          <w:sz w:val="20"/>
          <w:szCs w:val="20"/>
        </w:rPr>
        <w:t xml:space="preserve"> </w:t>
      </w:r>
      <w:r w:rsidRPr="00A95F91">
        <w:rPr>
          <w:rFonts w:ascii="Arial" w:hAnsi="Arial" w:cs="Arial"/>
          <w:sz w:val="20"/>
          <w:szCs w:val="20"/>
        </w:rPr>
        <w:t>Abstract</w:t>
      </w:r>
      <w:proofErr w:type="gramEnd"/>
      <w:r w:rsidRPr="00A95F91">
        <w:rPr>
          <w:rFonts w:ascii="Arial" w:hAnsi="Arial" w:cs="Arial"/>
          <w:sz w:val="20"/>
          <w:szCs w:val="20"/>
        </w:rPr>
        <w:t xml:space="preserve">. This study investigates the applicability of the Unified Theory of Acceptance and Use of Technology 2 (UTAUT2) in explaining the interest of Indonesian Generation Z and Millennials in using digital investment applications amid the rapid growth of digital finance adoption. The UTAUT2 was selected since it was one of the most popular technology adoption models and </w:t>
      </w:r>
      <w:proofErr w:type="gramStart"/>
      <w:r w:rsidRPr="00A95F91">
        <w:rPr>
          <w:rFonts w:ascii="Arial" w:hAnsi="Arial" w:cs="Arial"/>
          <w:sz w:val="20"/>
          <w:szCs w:val="20"/>
        </w:rPr>
        <w:t>is able to</w:t>
      </w:r>
      <w:proofErr w:type="gramEnd"/>
      <w:r w:rsidRPr="00A95F91">
        <w:rPr>
          <w:rFonts w:ascii="Arial" w:hAnsi="Arial" w:cs="Arial"/>
          <w:sz w:val="20"/>
          <w:szCs w:val="20"/>
        </w:rPr>
        <w:t xml:space="preserve"> explain behavioral intention better than any other model. However, its universality and predictive power have increasingly been questioned due to inconsistent findings across various contexts. This suggests a potential limitation of the model in digitally mature environments such as Indonesia. Using a quantitative approach, data were collected from 201 Gen Z and Millennial users and analyzed using Partial Least Squares Structural Equation Modeling (PLSSEM). The results show that performance expectancy, habit, and trust significantly influence Indonesian Gen Z and Millennials’ interest in using digital investment applications. This </w:t>
      </w:r>
      <w:proofErr w:type="gramStart"/>
      <w:r w:rsidRPr="00A95F91">
        <w:rPr>
          <w:rFonts w:ascii="Arial" w:hAnsi="Arial" w:cs="Arial"/>
          <w:sz w:val="20"/>
          <w:szCs w:val="20"/>
        </w:rPr>
        <w:t>suggest</w:t>
      </w:r>
      <w:proofErr w:type="gramEnd"/>
      <w:r w:rsidRPr="00A95F91">
        <w:rPr>
          <w:rFonts w:ascii="Arial" w:hAnsi="Arial" w:cs="Arial"/>
          <w:sz w:val="20"/>
          <w:szCs w:val="20"/>
        </w:rPr>
        <w:t xml:space="preserve"> that technology adoption in this context is better explained by a performance-trust-habit-driven model. Rather than treating the model as a failure and insignificant relationships as anomalies, this study views them as empirical evidence that the UTAUT2 is context-based, and its constructs can become non-differentiating in digitally mature environments. This study highlights the UTAUT2’s contextual limitations and highlights the need for more parsimonious and context-specific models in explaining young users’ behavior in fintech adoption.</w:t>
      </w:r>
    </w:p>
    <w:p w14:paraId="71F8777F" w14:textId="77777777" w:rsidR="007157A4" w:rsidRPr="007157A4" w:rsidRDefault="007157A4" w:rsidP="00A51969">
      <w:pPr>
        <w:spacing w:after="0" w:line="240" w:lineRule="auto"/>
        <w:jc w:val="both"/>
        <w:rPr>
          <w:rFonts w:ascii="Arial" w:hAnsi="Arial" w:cs="Arial"/>
          <w:sz w:val="20"/>
          <w:szCs w:val="20"/>
        </w:rPr>
      </w:pPr>
    </w:p>
    <w:p w14:paraId="1CE02E1F" w14:textId="36E510AA" w:rsidR="00AE1338" w:rsidRPr="00AE1338" w:rsidRDefault="00AE1338" w:rsidP="00A51969">
      <w:pPr>
        <w:spacing w:after="0" w:line="240" w:lineRule="auto"/>
        <w:rPr>
          <w:rFonts w:ascii="Arial" w:hAnsi="Arial" w:cs="Arial"/>
          <w:sz w:val="20"/>
          <w:szCs w:val="20"/>
          <w:lang w:val="en-US"/>
        </w:rPr>
      </w:pPr>
      <w:r w:rsidRPr="00AE1338">
        <w:rPr>
          <w:rFonts w:ascii="Arial" w:hAnsi="Arial" w:cs="Arial"/>
          <w:sz w:val="20"/>
          <w:szCs w:val="20"/>
          <w:lang w:val="en-US"/>
        </w:rPr>
        <w:br w:type="page"/>
      </w:r>
    </w:p>
    <w:p w14:paraId="0CBD2ACB" w14:textId="70DC6E8B" w:rsidR="004D09F6" w:rsidRPr="00AE1338" w:rsidRDefault="00AE1338" w:rsidP="00A51969">
      <w:pPr>
        <w:spacing w:after="0" w:line="240" w:lineRule="auto"/>
        <w:jc w:val="both"/>
        <w:rPr>
          <w:rFonts w:ascii="Arial" w:hAnsi="Arial" w:cs="Arial"/>
          <w:sz w:val="20"/>
          <w:szCs w:val="20"/>
          <w:lang w:val="en-US"/>
        </w:rPr>
      </w:pPr>
      <w:r w:rsidRPr="00AE1338">
        <w:rPr>
          <w:rFonts w:ascii="Arial" w:hAnsi="Arial" w:cs="Arial"/>
          <w:noProof/>
          <w:sz w:val="20"/>
          <w:szCs w:val="20"/>
          <w:lang w:val="en-US"/>
        </w:rPr>
        <w:lastRenderedPageBreak/>
        <w:drawing>
          <wp:anchor distT="0" distB="0" distL="114300" distR="114300" simplePos="0" relativeHeight="251659264" behindDoc="0" locked="0" layoutInCell="1" allowOverlap="1" wp14:anchorId="5389C2FB" wp14:editId="74C678C1">
            <wp:simplePos x="0" y="0"/>
            <wp:positionH relativeFrom="column">
              <wp:posOffset>-666345</wp:posOffset>
            </wp:positionH>
            <wp:positionV relativeFrom="paragraph">
              <wp:posOffset>-920886</wp:posOffset>
            </wp:positionV>
            <wp:extent cx="7561634" cy="10707013"/>
            <wp:effectExtent l="0" t="0" r="0" b="0"/>
            <wp:wrapNone/>
            <wp:docPr id="12479296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29699" name="Picture 1247929699"/>
                    <pic:cNvPicPr/>
                  </pic:nvPicPr>
                  <pic:blipFill>
                    <a:blip r:embed="rId9">
                      <a:extLst>
                        <a:ext uri="{28A0092B-C50C-407E-A947-70E740481C1C}">
                          <a14:useLocalDpi xmlns:a14="http://schemas.microsoft.com/office/drawing/2010/main" val="0"/>
                        </a:ext>
                      </a:extLst>
                    </a:blip>
                    <a:stretch>
                      <a:fillRect/>
                    </a:stretch>
                  </pic:blipFill>
                  <pic:spPr>
                    <a:xfrm>
                      <a:off x="0" y="0"/>
                      <a:ext cx="7591983" cy="10749986"/>
                    </a:xfrm>
                    <a:prstGeom prst="rect">
                      <a:avLst/>
                    </a:prstGeom>
                  </pic:spPr>
                </pic:pic>
              </a:graphicData>
            </a:graphic>
            <wp14:sizeRelH relativeFrom="page">
              <wp14:pctWidth>0</wp14:pctWidth>
            </wp14:sizeRelH>
            <wp14:sizeRelV relativeFrom="page">
              <wp14:pctHeight>0</wp14:pctHeight>
            </wp14:sizeRelV>
          </wp:anchor>
        </w:drawing>
      </w:r>
    </w:p>
    <w:sectPr w:rsidR="004D09F6" w:rsidRPr="00AE1338" w:rsidSect="0088499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A51D6" w14:textId="77777777" w:rsidR="004F7E4B" w:rsidRDefault="004F7E4B" w:rsidP="00AE1338">
      <w:pPr>
        <w:spacing w:after="0" w:line="240" w:lineRule="auto"/>
      </w:pPr>
      <w:r>
        <w:separator/>
      </w:r>
    </w:p>
  </w:endnote>
  <w:endnote w:type="continuationSeparator" w:id="0">
    <w:p w14:paraId="6047B514" w14:textId="77777777" w:rsidR="004F7E4B" w:rsidRDefault="004F7E4B" w:rsidP="00AE1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034FD" w14:textId="77777777" w:rsidR="004F7E4B" w:rsidRDefault="004F7E4B" w:rsidP="00AE1338">
      <w:pPr>
        <w:spacing w:after="0" w:line="240" w:lineRule="auto"/>
      </w:pPr>
      <w:r>
        <w:separator/>
      </w:r>
    </w:p>
  </w:footnote>
  <w:footnote w:type="continuationSeparator" w:id="0">
    <w:p w14:paraId="19500FBB" w14:textId="77777777" w:rsidR="004F7E4B" w:rsidRDefault="004F7E4B" w:rsidP="00AE13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3AF"/>
    <w:multiLevelType w:val="hybridMultilevel"/>
    <w:tmpl w:val="6CC435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77E0468"/>
    <w:multiLevelType w:val="hybridMultilevel"/>
    <w:tmpl w:val="747E999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D567198"/>
    <w:multiLevelType w:val="multilevel"/>
    <w:tmpl w:val="345A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96FE7"/>
    <w:multiLevelType w:val="hybridMultilevel"/>
    <w:tmpl w:val="6EE0E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A563570"/>
    <w:multiLevelType w:val="hybridMultilevel"/>
    <w:tmpl w:val="747E999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6C071D38"/>
    <w:multiLevelType w:val="hybridMultilevel"/>
    <w:tmpl w:val="40B61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74869B5"/>
    <w:multiLevelType w:val="multilevel"/>
    <w:tmpl w:val="0838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2493913">
    <w:abstractNumId w:val="2"/>
  </w:num>
  <w:num w:numId="2" w16cid:durableId="33237474">
    <w:abstractNumId w:val="5"/>
  </w:num>
  <w:num w:numId="3" w16cid:durableId="1752847490">
    <w:abstractNumId w:val="3"/>
  </w:num>
  <w:num w:numId="4" w16cid:durableId="1259219871">
    <w:abstractNumId w:val="4"/>
  </w:num>
  <w:num w:numId="5" w16cid:durableId="1050960229">
    <w:abstractNumId w:val="1"/>
  </w:num>
  <w:num w:numId="6" w16cid:durableId="1373113325">
    <w:abstractNumId w:val="0"/>
  </w:num>
  <w:num w:numId="7" w16cid:durableId="19188289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5F"/>
    <w:rsid w:val="0000523B"/>
    <w:rsid w:val="00005D72"/>
    <w:rsid w:val="000113A8"/>
    <w:rsid w:val="0001301A"/>
    <w:rsid w:val="00020B5D"/>
    <w:rsid w:val="00021CC9"/>
    <w:rsid w:val="00024596"/>
    <w:rsid w:val="00026B82"/>
    <w:rsid w:val="0003002C"/>
    <w:rsid w:val="00032948"/>
    <w:rsid w:val="00035827"/>
    <w:rsid w:val="000406AC"/>
    <w:rsid w:val="0004187E"/>
    <w:rsid w:val="000427B3"/>
    <w:rsid w:val="00042C2F"/>
    <w:rsid w:val="00054431"/>
    <w:rsid w:val="00055AB2"/>
    <w:rsid w:val="000560D8"/>
    <w:rsid w:val="00057245"/>
    <w:rsid w:val="000614C0"/>
    <w:rsid w:val="0007016A"/>
    <w:rsid w:val="000702F2"/>
    <w:rsid w:val="00075242"/>
    <w:rsid w:val="00076BA8"/>
    <w:rsid w:val="00082253"/>
    <w:rsid w:val="00085082"/>
    <w:rsid w:val="0008640B"/>
    <w:rsid w:val="00090420"/>
    <w:rsid w:val="0009073A"/>
    <w:rsid w:val="0009135E"/>
    <w:rsid w:val="00092FB9"/>
    <w:rsid w:val="00094D48"/>
    <w:rsid w:val="000961BB"/>
    <w:rsid w:val="000A0D86"/>
    <w:rsid w:val="000A31C5"/>
    <w:rsid w:val="000B4F41"/>
    <w:rsid w:val="000C13A2"/>
    <w:rsid w:val="000C4757"/>
    <w:rsid w:val="000C507D"/>
    <w:rsid w:val="000C68E5"/>
    <w:rsid w:val="000C6FC3"/>
    <w:rsid w:val="000E0EB5"/>
    <w:rsid w:val="000E1379"/>
    <w:rsid w:val="000E3F35"/>
    <w:rsid w:val="000E67DA"/>
    <w:rsid w:val="00101097"/>
    <w:rsid w:val="00107499"/>
    <w:rsid w:val="00107C9A"/>
    <w:rsid w:val="001107FE"/>
    <w:rsid w:val="001129D2"/>
    <w:rsid w:val="00114B5B"/>
    <w:rsid w:val="00130BAC"/>
    <w:rsid w:val="0013291B"/>
    <w:rsid w:val="001332F2"/>
    <w:rsid w:val="00135342"/>
    <w:rsid w:val="00151A46"/>
    <w:rsid w:val="0015389C"/>
    <w:rsid w:val="00154369"/>
    <w:rsid w:val="00156B31"/>
    <w:rsid w:val="00156DAC"/>
    <w:rsid w:val="001600D1"/>
    <w:rsid w:val="00164E78"/>
    <w:rsid w:val="00166212"/>
    <w:rsid w:val="00175435"/>
    <w:rsid w:val="00176122"/>
    <w:rsid w:val="001832EB"/>
    <w:rsid w:val="001833BB"/>
    <w:rsid w:val="00183428"/>
    <w:rsid w:val="001868D7"/>
    <w:rsid w:val="00187991"/>
    <w:rsid w:val="0019569C"/>
    <w:rsid w:val="001A29A4"/>
    <w:rsid w:val="001A5F29"/>
    <w:rsid w:val="001B05B4"/>
    <w:rsid w:val="001B75B7"/>
    <w:rsid w:val="001C58A4"/>
    <w:rsid w:val="001D0F81"/>
    <w:rsid w:val="001D26B7"/>
    <w:rsid w:val="001E4DEC"/>
    <w:rsid w:val="001F0458"/>
    <w:rsid w:val="001F06DB"/>
    <w:rsid w:val="00200981"/>
    <w:rsid w:val="002038A2"/>
    <w:rsid w:val="0021121C"/>
    <w:rsid w:val="0021182F"/>
    <w:rsid w:val="00213342"/>
    <w:rsid w:val="00220FA5"/>
    <w:rsid w:val="002217EE"/>
    <w:rsid w:val="00231F1E"/>
    <w:rsid w:val="002340CE"/>
    <w:rsid w:val="002342F5"/>
    <w:rsid w:val="00236A06"/>
    <w:rsid w:val="00240855"/>
    <w:rsid w:val="00250EA9"/>
    <w:rsid w:val="002512AF"/>
    <w:rsid w:val="002534EB"/>
    <w:rsid w:val="00255CF6"/>
    <w:rsid w:val="0026156A"/>
    <w:rsid w:val="00263FD4"/>
    <w:rsid w:val="002663AC"/>
    <w:rsid w:val="00266CFC"/>
    <w:rsid w:val="00273275"/>
    <w:rsid w:val="00277C57"/>
    <w:rsid w:val="00281A6A"/>
    <w:rsid w:val="002833C3"/>
    <w:rsid w:val="00284BDD"/>
    <w:rsid w:val="00285902"/>
    <w:rsid w:val="0029157C"/>
    <w:rsid w:val="0029194A"/>
    <w:rsid w:val="00294AA4"/>
    <w:rsid w:val="00295339"/>
    <w:rsid w:val="00296448"/>
    <w:rsid w:val="00297770"/>
    <w:rsid w:val="002A356F"/>
    <w:rsid w:val="002A38AF"/>
    <w:rsid w:val="002A3DC9"/>
    <w:rsid w:val="002A78CE"/>
    <w:rsid w:val="002B3C1D"/>
    <w:rsid w:val="002B4DE8"/>
    <w:rsid w:val="002D0587"/>
    <w:rsid w:val="002D57A7"/>
    <w:rsid w:val="002E292C"/>
    <w:rsid w:val="002F3085"/>
    <w:rsid w:val="00312D45"/>
    <w:rsid w:val="00314935"/>
    <w:rsid w:val="00314C8A"/>
    <w:rsid w:val="00314E21"/>
    <w:rsid w:val="003155E1"/>
    <w:rsid w:val="003158FD"/>
    <w:rsid w:val="0031782F"/>
    <w:rsid w:val="00322C99"/>
    <w:rsid w:val="00322FB3"/>
    <w:rsid w:val="003358F7"/>
    <w:rsid w:val="00335FAB"/>
    <w:rsid w:val="00341A90"/>
    <w:rsid w:val="00343D9B"/>
    <w:rsid w:val="00345F54"/>
    <w:rsid w:val="003572EF"/>
    <w:rsid w:val="00361554"/>
    <w:rsid w:val="00362E9D"/>
    <w:rsid w:val="00364339"/>
    <w:rsid w:val="00365306"/>
    <w:rsid w:val="00367D5E"/>
    <w:rsid w:val="00376C3C"/>
    <w:rsid w:val="003805C9"/>
    <w:rsid w:val="00384928"/>
    <w:rsid w:val="00396B5F"/>
    <w:rsid w:val="003A2474"/>
    <w:rsid w:val="003A2BD9"/>
    <w:rsid w:val="003A3529"/>
    <w:rsid w:val="003A3959"/>
    <w:rsid w:val="003B24B8"/>
    <w:rsid w:val="003B25D6"/>
    <w:rsid w:val="003B45D1"/>
    <w:rsid w:val="003B770D"/>
    <w:rsid w:val="003B7C3B"/>
    <w:rsid w:val="003C178E"/>
    <w:rsid w:val="003C3069"/>
    <w:rsid w:val="003C7B44"/>
    <w:rsid w:val="003D3AC6"/>
    <w:rsid w:val="003E08A8"/>
    <w:rsid w:val="003E1FDF"/>
    <w:rsid w:val="003F03E1"/>
    <w:rsid w:val="003F48EA"/>
    <w:rsid w:val="003F7BF9"/>
    <w:rsid w:val="0040059B"/>
    <w:rsid w:val="004066FB"/>
    <w:rsid w:val="0040784B"/>
    <w:rsid w:val="00420C87"/>
    <w:rsid w:val="00422D86"/>
    <w:rsid w:val="00430615"/>
    <w:rsid w:val="004423D9"/>
    <w:rsid w:val="00443DB6"/>
    <w:rsid w:val="00447422"/>
    <w:rsid w:val="0045679F"/>
    <w:rsid w:val="0045768D"/>
    <w:rsid w:val="004641A3"/>
    <w:rsid w:val="0046745D"/>
    <w:rsid w:val="00471E66"/>
    <w:rsid w:val="004754D0"/>
    <w:rsid w:val="00480A54"/>
    <w:rsid w:val="00482C2D"/>
    <w:rsid w:val="00482EC4"/>
    <w:rsid w:val="004874E7"/>
    <w:rsid w:val="00490581"/>
    <w:rsid w:val="00491B35"/>
    <w:rsid w:val="004954CA"/>
    <w:rsid w:val="004A12FA"/>
    <w:rsid w:val="004A4C3E"/>
    <w:rsid w:val="004A4D66"/>
    <w:rsid w:val="004A4F53"/>
    <w:rsid w:val="004B000B"/>
    <w:rsid w:val="004B34C0"/>
    <w:rsid w:val="004B65CC"/>
    <w:rsid w:val="004C106F"/>
    <w:rsid w:val="004C1D20"/>
    <w:rsid w:val="004C5114"/>
    <w:rsid w:val="004D09F6"/>
    <w:rsid w:val="004D33F2"/>
    <w:rsid w:val="004D46CA"/>
    <w:rsid w:val="004D4907"/>
    <w:rsid w:val="004D5C6E"/>
    <w:rsid w:val="004E7FF9"/>
    <w:rsid w:val="004F54AC"/>
    <w:rsid w:val="004F73D3"/>
    <w:rsid w:val="004F7E4B"/>
    <w:rsid w:val="005000AB"/>
    <w:rsid w:val="0050177F"/>
    <w:rsid w:val="00501D3E"/>
    <w:rsid w:val="0051188A"/>
    <w:rsid w:val="00512052"/>
    <w:rsid w:val="00514BAB"/>
    <w:rsid w:val="00514E83"/>
    <w:rsid w:val="00523A6E"/>
    <w:rsid w:val="00524E24"/>
    <w:rsid w:val="00527C5D"/>
    <w:rsid w:val="005350EA"/>
    <w:rsid w:val="00536EDD"/>
    <w:rsid w:val="00541950"/>
    <w:rsid w:val="00543987"/>
    <w:rsid w:val="005457FE"/>
    <w:rsid w:val="0055001F"/>
    <w:rsid w:val="0055134B"/>
    <w:rsid w:val="00552188"/>
    <w:rsid w:val="0055264A"/>
    <w:rsid w:val="0055348F"/>
    <w:rsid w:val="00560880"/>
    <w:rsid w:val="005860AC"/>
    <w:rsid w:val="00595ED4"/>
    <w:rsid w:val="00596306"/>
    <w:rsid w:val="00597633"/>
    <w:rsid w:val="005A1C5A"/>
    <w:rsid w:val="005A2824"/>
    <w:rsid w:val="005A2ACA"/>
    <w:rsid w:val="005B00D9"/>
    <w:rsid w:val="005B34FD"/>
    <w:rsid w:val="005C597A"/>
    <w:rsid w:val="005D216D"/>
    <w:rsid w:val="005E06F3"/>
    <w:rsid w:val="005E0F2E"/>
    <w:rsid w:val="005E122F"/>
    <w:rsid w:val="005E16FF"/>
    <w:rsid w:val="005E3755"/>
    <w:rsid w:val="005E56CA"/>
    <w:rsid w:val="005F2D9D"/>
    <w:rsid w:val="005F4356"/>
    <w:rsid w:val="005F6523"/>
    <w:rsid w:val="005F66D3"/>
    <w:rsid w:val="005F716F"/>
    <w:rsid w:val="006001FD"/>
    <w:rsid w:val="00601C14"/>
    <w:rsid w:val="00601EB5"/>
    <w:rsid w:val="00607743"/>
    <w:rsid w:val="0061291D"/>
    <w:rsid w:val="0061344C"/>
    <w:rsid w:val="0061383C"/>
    <w:rsid w:val="00620E3B"/>
    <w:rsid w:val="00622F4A"/>
    <w:rsid w:val="00624D32"/>
    <w:rsid w:val="00627BDA"/>
    <w:rsid w:val="00630940"/>
    <w:rsid w:val="006315AF"/>
    <w:rsid w:val="006340F1"/>
    <w:rsid w:val="006341AF"/>
    <w:rsid w:val="00634374"/>
    <w:rsid w:val="00640CC0"/>
    <w:rsid w:val="0064231D"/>
    <w:rsid w:val="00644298"/>
    <w:rsid w:val="00644383"/>
    <w:rsid w:val="006511E1"/>
    <w:rsid w:val="00652930"/>
    <w:rsid w:val="00654D1C"/>
    <w:rsid w:val="00655202"/>
    <w:rsid w:val="00655F74"/>
    <w:rsid w:val="00656E29"/>
    <w:rsid w:val="006600E8"/>
    <w:rsid w:val="006614F8"/>
    <w:rsid w:val="00661B0B"/>
    <w:rsid w:val="00680B32"/>
    <w:rsid w:val="0068146B"/>
    <w:rsid w:val="0068353E"/>
    <w:rsid w:val="00686C7C"/>
    <w:rsid w:val="00686CA1"/>
    <w:rsid w:val="00690088"/>
    <w:rsid w:val="00692ABB"/>
    <w:rsid w:val="00693C7D"/>
    <w:rsid w:val="00694613"/>
    <w:rsid w:val="00696DD5"/>
    <w:rsid w:val="00697ED4"/>
    <w:rsid w:val="006A67FD"/>
    <w:rsid w:val="006A7CC9"/>
    <w:rsid w:val="006B504A"/>
    <w:rsid w:val="006B64FC"/>
    <w:rsid w:val="006B6A5E"/>
    <w:rsid w:val="006B7308"/>
    <w:rsid w:val="006C21BD"/>
    <w:rsid w:val="006C2D27"/>
    <w:rsid w:val="006C31FB"/>
    <w:rsid w:val="006C650A"/>
    <w:rsid w:val="006D00EF"/>
    <w:rsid w:val="006D02CF"/>
    <w:rsid w:val="006D294E"/>
    <w:rsid w:val="006D2F4E"/>
    <w:rsid w:val="006D36A8"/>
    <w:rsid w:val="006D5D2A"/>
    <w:rsid w:val="006D69D9"/>
    <w:rsid w:val="006D7548"/>
    <w:rsid w:val="006E5125"/>
    <w:rsid w:val="006E54B1"/>
    <w:rsid w:val="006E7C56"/>
    <w:rsid w:val="006E7E87"/>
    <w:rsid w:val="006F6D0B"/>
    <w:rsid w:val="00707EBD"/>
    <w:rsid w:val="007157A4"/>
    <w:rsid w:val="00717084"/>
    <w:rsid w:val="007279AC"/>
    <w:rsid w:val="00730325"/>
    <w:rsid w:val="0075434E"/>
    <w:rsid w:val="0076146B"/>
    <w:rsid w:val="007665C4"/>
    <w:rsid w:val="00770F46"/>
    <w:rsid w:val="007711CC"/>
    <w:rsid w:val="007726E2"/>
    <w:rsid w:val="007736A6"/>
    <w:rsid w:val="00781CE3"/>
    <w:rsid w:val="00783B0E"/>
    <w:rsid w:val="007846DF"/>
    <w:rsid w:val="00784BDB"/>
    <w:rsid w:val="0079502F"/>
    <w:rsid w:val="00797F4F"/>
    <w:rsid w:val="007A02FB"/>
    <w:rsid w:val="007A1890"/>
    <w:rsid w:val="007A3746"/>
    <w:rsid w:val="007C1039"/>
    <w:rsid w:val="007C4E0A"/>
    <w:rsid w:val="007C711F"/>
    <w:rsid w:val="007D09AE"/>
    <w:rsid w:val="007D1F34"/>
    <w:rsid w:val="007D4BA3"/>
    <w:rsid w:val="007D50CD"/>
    <w:rsid w:val="007D7956"/>
    <w:rsid w:val="007E0D45"/>
    <w:rsid w:val="007E28AC"/>
    <w:rsid w:val="007E2CC3"/>
    <w:rsid w:val="007E376E"/>
    <w:rsid w:val="007E73DC"/>
    <w:rsid w:val="007F131A"/>
    <w:rsid w:val="007F187C"/>
    <w:rsid w:val="007F267E"/>
    <w:rsid w:val="007F29A6"/>
    <w:rsid w:val="007F5704"/>
    <w:rsid w:val="007F61FF"/>
    <w:rsid w:val="008056B0"/>
    <w:rsid w:val="00807D55"/>
    <w:rsid w:val="00807E18"/>
    <w:rsid w:val="00810AC1"/>
    <w:rsid w:val="008118A9"/>
    <w:rsid w:val="00820D15"/>
    <w:rsid w:val="00821968"/>
    <w:rsid w:val="00827712"/>
    <w:rsid w:val="00830D73"/>
    <w:rsid w:val="00841EF1"/>
    <w:rsid w:val="00843603"/>
    <w:rsid w:val="00844480"/>
    <w:rsid w:val="008445D1"/>
    <w:rsid w:val="00846C0C"/>
    <w:rsid w:val="008534ED"/>
    <w:rsid w:val="00857934"/>
    <w:rsid w:val="00860886"/>
    <w:rsid w:val="008665F1"/>
    <w:rsid w:val="00866FE5"/>
    <w:rsid w:val="0087000D"/>
    <w:rsid w:val="00876EDB"/>
    <w:rsid w:val="0088140C"/>
    <w:rsid w:val="0088464A"/>
    <w:rsid w:val="00884990"/>
    <w:rsid w:val="00886833"/>
    <w:rsid w:val="00893486"/>
    <w:rsid w:val="008959E8"/>
    <w:rsid w:val="008A2BE4"/>
    <w:rsid w:val="008A387B"/>
    <w:rsid w:val="008A4526"/>
    <w:rsid w:val="008A55A1"/>
    <w:rsid w:val="008A7495"/>
    <w:rsid w:val="008B2B41"/>
    <w:rsid w:val="008C4079"/>
    <w:rsid w:val="008C5EB3"/>
    <w:rsid w:val="008D2D35"/>
    <w:rsid w:val="008E2BC8"/>
    <w:rsid w:val="008E2D9F"/>
    <w:rsid w:val="008E3DD2"/>
    <w:rsid w:val="008E467F"/>
    <w:rsid w:val="008E776C"/>
    <w:rsid w:val="00904A98"/>
    <w:rsid w:val="009052C3"/>
    <w:rsid w:val="009079D7"/>
    <w:rsid w:val="0091344A"/>
    <w:rsid w:val="00915ED8"/>
    <w:rsid w:val="00920EEC"/>
    <w:rsid w:val="00923529"/>
    <w:rsid w:val="009257CC"/>
    <w:rsid w:val="00927D22"/>
    <w:rsid w:val="009333B4"/>
    <w:rsid w:val="0093364C"/>
    <w:rsid w:val="00937DAC"/>
    <w:rsid w:val="00942299"/>
    <w:rsid w:val="0094367F"/>
    <w:rsid w:val="00946E11"/>
    <w:rsid w:val="009517B4"/>
    <w:rsid w:val="00951F72"/>
    <w:rsid w:val="00953118"/>
    <w:rsid w:val="00953E71"/>
    <w:rsid w:val="00953EEA"/>
    <w:rsid w:val="0095400E"/>
    <w:rsid w:val="00957BE2"/>
    <w:rsid w:val="00960FC2"/>
    <w:rsid w:val="009614E2"/>
    <w:rsid w:val="00971246"/>
    <w:rsid w:val="009727FD"/>
    <w:rsid w:val="009728E7"/>
    <w:rsid w:val="00972CB6"/>
    <w:rsid w:val="0098029A"/>
    <w:rsid w:val="00984A1B"/>
    <w:rsid w:val="00994428"/>
    <w:rsid w:val="00995DB6"/>
    <w:rsid w:val="009A1AA8"/>
    <w:rsid w:val="009A3635"/>
    <w:rsid w:val="009A3E8C"/>
    <w:rsid w:val="009B7292"/>
    <w:rsid w:val="009C0BFA"/>
    <w:rsid w:val="009C1809"/>
    <w:rsid w:val="009C21DE"/>
    <w:rsid w:val="009D137D"/>
    <w:rsid w:val="009D627C"/>
    <w:rsid w:val="009D6A9E"/>
    <w:rsid w:val="009E7638"/>
    <w:rsid w:val="00A004C7"/>
    <w:rsid w:val="00A03BC5"/>
    <w:rsid w:val="00A03D00"/>
    <w:rsid w:val="00A07CC6"/>
    <w:rsid w:val="00A16895"/>
    <w:rsid w:val="00A31A0B"/>
    <w:rsid w:val="00A31CAA"/>
    <w:rsid w:val="00A33641"/>
    <w:rsid w:val="00A33822"/>
    <w:rsid w:val="00A40991"/>
    <w:rsid w:val="00A46C19"/>
    <w:rsid w:val="00A4752D"/>
    <w:rsid w:val="00A51098"/>
    <w:rsid w:val="00A5195C"/>
    <w:rsid w:val="00A51969"/>
    <w:rsid w:val="00A52400"/>
    <w:rsid w:val="00A52E16"/>
    <w:rsid w:val="00A60267"/>
    <w:rsid w:val="00A603DE"/>
    <w:rsid w:val="00A60DFB"/>
    <w:rsid w:val="00A62E1A"/>
    <w:rsid w:val="00A653E0"/>
    <w:rsid w:val="00A673F2"/>
    <w:rsid w:val="00A83802"/>
    <w:rsid w:val="00A87998"/>
    <w:rsid w:val="00A905E1"/>
    <w:rsid w:val="00A91B43"/>
    <w:rsid w:val="00A95F91"/>
    <w:rsid w:val="00AA0734"/>
    <w:rsid w:val="00AA33D9"/>
    <w:rsid w:val="00AB051D"/>
    <w:rsid w:val="00AB097C"/>
    <w:rsid w:val="00AC150D"/>
    <w:rsid w:val="00AC3D61"/>
    <w:rsid w:val="00AC57AF"/>
    <w:rsid w:val="00AC5BBA"/>
    <w:rsid w:val="00AD2CB0"/>
    <w:rsid w:val="00AD42FD"/>
    <w:rsid w:val="00AD49DF"/>
    <w:rsid w:val="00AD4A70"/>
    <w:rsid w:val="00AD658B"/>
    <w:rsid w:val="00AE1338"/>
    <w:rsid w:val="00AE187C"/>
    <w:rsid w:val="00AE4A73"/>
    <w:rsid w:val="00AE646E"/>
    <w:rsid w:val="00AF6B24"/>
    <w:rsid w:val="00B01BF6"/>
    <w:rsid w:val="00B0283C"/>
    <w:rsid w:val="00B04D4C"/>
    <w:rsid w:val="00B11CBF"/>
    <w:rsid w:val="00B158ED"/>
    <w:rsid w:val="00B170CF"/>
    <w:rsid w:val="00B32331"/>
    <w:rsid w:val="00B33587"/>
    <w:rsid w:val="00B3731B"/>
    <w:rsid w:val="00B40F48"/>
    <w:rsid w:val="00B425EB"/>
    <w:rsid w:val="00B50BA0"/>
    <w:rsid w:val="00B5260E"/>
    <w:rsid w:val="00B532B4"/>
    <w:rsid w:val="00B53B28"/>
    <w:rsid w:val="00B54705"/>
    <w:rsid w:val="00B57140"/>
    <w:rsid w:val="00B73032"/>
    <w:rsid w:val="00B85BDC"/>
    <w:rsid w:val="00B91BB7"/>
    <w:rsid w:val="00B965FD"/>
    <w:rsid w:val="00BA0124"/>
    <w:rsid w:val="00BA2A5B"/>
    <w:rsid w:val="00BA64FD"/>
    <w:rsid w:val="00BB04AA"/>
    <w:rsid w:val="00BB3D03"/>
    <w:rsid w:val="00BB743B"/>
    <w:rsid w:val="00BC0C70"/>
    <w:rsid w:val="00BC780A"/>
    <w:rsid w:val="00BD01BC"/>
    <w:rsid w:val="00BD1F1A"/>
    <w:rsid w:val="00BE2951"/>
    <w:rsid w:val="00BE55AE"/>
    <w:rsid w:val="00BE61C2"/>
    <w:rsid w:val="00BF72B7"/>
    <w:rsid w:val="00C011A3"/>
    <w:rsid w:val="00C06924"/>
    <w:rsid w:val="00C072F1"/>
    <w:rsid w:val="00C109A5"/>
    <w:rsid w:val="00C13870"/>
    <w:rsid w:val="00C16EC0"/>
    <w:rsid w:val="00C22F03"/>
    <w:rsid w:val="00C25035"/>
    <w:rsid w:val="00C26BFE"/>
    <w:rsid w:val="00C27350"/>
    <w:rsid w:val="00C30283"/>
    <w:rsid w:val="00C36C91"/>
    <w:rsid w:val="00C37B1C"/>
    <w:rsid w:val="00C37EBE"/>
    <w:rsid w:val="00C40B55"/>
    <w:rsid w:val="00C521B4"/>
    <w:rsid w:val="00C52F67"/>
    <w:rsid w:val="00C537AC"/>
    <w:rsid w:val="00C6415C"/>
    <w:rsid w:val="00C64626"/>
    <w:rsid w:val="00C66B8D"/>
    <w:rsid w:val="00C6707D"/>
    <w:rsid w:val="00C7145A"/>
    <w:rsid w:val="00C722CD"/>
    <w:rsid w:val="00C751C2"/>
    <w:rsid w:val="00C81802"/>
    <w:rsid w:val="00C81E16"/>
    <w:rsid w:val="00C848B8"/>
    <w:rsid w:val="00C85125"/>
    <w:rsid w:val="00C85D05"/>
    <w:rsid w:val="00C90E4B"/>
    <w:rsid w:val="00C94E71"/>
    <w:rsid w:val="00C9579E"/>
    <w:rsid w:val="00C97986"/>
    <w:rsid w:val="00CA3294"/>
    <w:rsid w:val="00CA5C33"/>
    <w:rsid w:val="00CB4D71"/>
    <w:rsid w:val="00CC5A88"/>
    <w:rsid w:val="00CC678D"/>
    <w:rsid w:val="00CC7A60"/>
    <w:rsid w:val="00CD1F35"/>
    <w:rsid w:val="00CD3896"/>
    <w:rsid w:val="00CD7B0B"/>
    <w:rsid w:val="00CE07A9"/>
    <w:rsid w:val="00CE2C79"/>
    <w:rsid w:val="00CE38D2"/>
    <w:rsid w:val="00CF70A5"/>
    <w:rsid w:val="00D02382"/>
    <w:rsid w:val="00D119D0"/>
    <w:rsid w:val="00D15AA5"/>
    <w:rsid w:val="00D2143E"/>
    <w:rsid w:val="00D21FF5"/>
    <w:rsid w:val="00D22049"/>
    <w:rsid w:val="00D22CE5"/>
    <w:rsid w:val="00D25E1D"/>
    <w:rsid w:val="00D261C0"/>
    <w:rsid w:val="00D261F9"/>
    <w:rsid w:val="00D262AC"/>
    <w:rsid w:val="00D3453C"/>
    <w:rsid w:val="00D36C92"/>
    <w:rsid w:val="00D373AB"/>
    <w:rsid w:val="00D40DD6"/>
    <w:rsid w:val="00D47959"/>
    <w:rsid w:val="00D507DE"/>
    <w:rsid w:val="00D569C1"/>
    <w:rsid w:val="00D623FB"/>
    <w:rsid w:val="00D6611C"/>
    <w:rsid w:val="00D70BA2"/>
    <w:rsid w:val="00D7113D"/>
    <w:rsid w:val="00D825B9"/>
    <w:rsid w:val="00D8507B"/>
    <w:rsid w:val="00D8623D"/>
    <w:rsid w:val="00D86596"/>
    <w:rsid w:val="00D91CCC"/>
    <w:rsid w:val="00D94CE7"/>
    <w:rsid w:val="00D95C46"/>
    <w:rsid w:val="00D96FFC"/>
    <w:rsid w:val="00D97111"/>
    <w:rsid w:val="00D97838"/>
    <w:rsid w:val="00DA1360"/>
    <w:rsid w:val="00DA7442"/>
    <w:rsid w:val="00DB07BF"/>
    <w:rsid w:val="00DB2E71"/>
    <w:rsid w:val="00DB6BF1"/>
    <w:rsid w:val="00DC1D29"/>
    <w:rsid w:val="00DD1FA1"/>
    <w:rsid w:val="00DE12B6"/>
    <w:rsid w:val="00DE1E2F"/>
    <w:rsid w:val="00DE362B"/>
    <w:rsid w:val="00DE6DFD"/>
    <w:rsid w:val="00DE770B"/>
    <w:rsid w:val="00DE7F4B"/>
    <w:rsid w:val="00DF0B01"/>
    <w:rsid w:val="00DF0F62"/>
    <w:rsid w:val="00DF1A89"/>
    <w:rsid w:val="00DF1FB0"/>
    <w:rsid w:val="00DF3A4A"/>
    <w:rsid w:val="00E02EA5"/>
    <w:rsid w:val="00E10DC3"/>
    <w:rsid w:val="00E11EA5"/>
    <w:rsid w:val="00E200BF"/>
    <w:rsid w:val="00E21EAA"/>
    <w:rsid w:val="00E2327D"/>
    <w:rsid w:val="00E27201"/>
    <w:rsid w:val="00E312FC"/>
    <w:rsid w:val="00E32E49"/>
    <w:rsid w:val="00E346C9"/>
    <w:rsid w:val="00E36D82"/>
    <w:rsid w:val="00E36FB0"/>
    <w:rsid w:val="00E37419"/>
    <w:rsid w:val="00E40E88"/>
    <w:rsid w:val="00E431DA"/>
    <w:rsid w:val="00E43276"/>
    <w:rsid w:val="00E44859"/>
    <w:rsid w:val="00E44948"/>
    <w:rsid w:val="00E45A37"/>
    <w:rsid w:val="00E5378F"/>
    <w:rsid w:val="00E549C6"/>
    <w:rsid w:val="00E55633"/>
    <w:rsid w:val="00E56AF5"/>
    <w:rsid w:val="00E664D6"/>
    <w:rsid w:val="00E7049B"/>
    <w:rsid w:val="00E71D92"/>
    <w:rsid w:val="00E75803"/>
    <w:rsid w:val="00E7650C"/>
    <w:rsid w:val="00E83358"/>
    <w:rsid w:val="00E84230"/>
    <w:rsid w:val="00E94C66"/>
    <w:rsid w:val="00E96ED1"/>
    <w:rsid w:val="00EB1321"/>
    <w:rsid w:val="00EB66FC"/>
    <w:rsid w:val="00EC0FA8"/>
    <w:rsid w:val="00EC1563"/>
    <w:rsid w:val="00EC1B16"/>
    <w:rsid w:val="00EC4C78"/>
    <w:rsid w:val="00EC5EB5"/>
    <w:rsid w:val="00EC6420"/>
    <w:rsid w:val="00ED6579"/>
    <w:rsid w:val="00EE3D2C"/>
    <w:rsid w:val="00EE4074"/>
    <w:rsid w:val="00EE4078"/>
    <w:rsid w:val="00EE5E08"/>
    <w:rsid w:val="00EF2150"/>
    <w:rsid w:val="00EF4766"/>
    <w:rsid w:val="00F018A8"/>
    <w:rsid w:val="00F103EE"/>
    <w:rsid w:val="00F124A0"/>
    <w:rsid w:val="00F15FF0"/>
    <w:rsid w:val="00F24591"/>
    <w:rsid w:val="00F3198D"/>
    <w:rsid w:val="00F40673"/>
    <w:rsid w:val="00F5175A"/>
    <w:rsid w:val="00F540BD"/>
    <w:rsid w:val="00F5539C"/>
    <w:rsid w:val="00F72B7B"/>
    <w:rsid w:val="00F751F7"/>
    <w:rsid w:val="00F76353"/>
    <w:rsid w:val="00F82AB6"/>
    <w:rsid w:val="00F859B5"/>
    <w:rsid w:val="00F90485"/>
    <w:rsid w:val="00F90637"/>
    <w:rsid w:val="00F916DF"/>
    <w:rsid w:val="00F953AF"/>
    <w:rsid w:val="00F96868"/>
    <w:rsid w:val="00FA220C"/>
    <w:rsid w:val="00FA746E"/>
    <w:rsid w:val="00FB07B7"/>
    <w:rsid w:val="00FB316C"/>
    <w:rsid w:val="00FB3682"/>
    <w:rsid w:val="00FC0CEE"/>
    <w:rsid w:val="00FC3813"/>
    <w:rsid w:val="00FC5570"/>
    <w:rsid w:val="00FC701D"/>
    <w:rsid w:val="00FD1A5F"/>
    <w:rsid w:val="00FD3B66"/>
    <w:rsid w:val="00FD4901"/>
    <w:rsid w:val="00FD6415"/>
    <w:rsid w:val="00FE202B"/>
    <w:rsid w:val="00FE3CD7"/>
    <w:rsid w:val="00FF0D31"/>
    <w:rsid w:val="00FF23B8"/>
    <w:rsid w:val="00FF3DE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E349B"/>
  <w15:chartTrackingRefBased/>
  <w15:docId w15:val="{02CEC0EC-FA18-2E44-9EF0-143B1363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B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6B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B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B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B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B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B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B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B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B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6B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B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B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B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B5F"/>
    <w:rPr>
      <w:rFonts w:eastAsiaTheme="majorEastAsia" w:cstheme="majorBidi"/>
      <w:color w:val="272727" w:themeColor="text1" w:themeTint="D8"/>
    </w:rPr>
  </w:style>
  <w:style w:type="paragraph" w:styleId="Title">
    <w:name w:val="Title"/>
    <w:basedOn w:val="Normal"/>
    <w:next w:val="Normal"/>
    <w:link w:val="TitleChar"/>
    <w:uiPriority w:val="10"/>
    <w:qFormat/>
    <w:rsid w:val="00396B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B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B5F"/>
    <w:pPr>
      <w:spacing w:before="160"/>
      <w:jc w:val="center"/>
    </w:pPr>
    <w:rPr>
      <w:i/>
      <w:iCs/>
      <w:color w:val="404040" w:themeColor="text1" w:themeTint="BF"/>
    </w:rPr>
  </w:style>
  <w:style w:type="character" w:customStyle="1" w:styleId="QuoteChar">
    <w:name w:val="Quote Char"/>
    <w:basedOn w:val="DefaultParagraphFont"/>
    <w:link w:val="Quote"/>
    <w:uiPriority w:val="29"/>
    <w:rsid w:val="00396B5F"/>
    <w:rPr>
      <w:i/>
      <w:iCs/>
      <w:color w:val="404040" w:themeColor="text1" w:themeTint="BF"/>
    </w:rPr>
  </w:style>
  <w:style w:type="paragraph" w:styleId="ListParagraph">
    <w:name w:val="List Paragraph"/>
    <w:basedOn w:val="Normal"/>
    <w:uiPriority w:val="34"/>
    <w:qFormat/>
    <w:rsid w:val="00396B5F"/>
    <w:pPr>
      <w:ind w:left="720"/>
      <w:contextualSpacing/>
    </w:pPr>
  </w:style>
  <w:style w:type="character" w:styleId="IntenseEmphasis">
    <w:name w:val="Intense Emphasis"/>
    <w:basedOn w:val="DefaultParagraphFont"/>
    <w:uiPriority w:val="21"/>
    <w:qFormat/>
    <w:rsid w:val="00396B5F"/>
    <w:rPr>
      <w:i/>
      <w:iCs/>
      <w:color w:val="0F4761" w:themeColor="accent1" w:themeShade="BF"/>
    </w:rPr>
  </w:style>
  <w:style w:type="paragraph" w:styleId="IntenseQuote">
    <w:name w:val="Intense Quote"/>
    <w:basedOn w:val="Normal"/>
    <w:next w:val="Normal"/>
    <w:link w:val="IntenseQuoteChar"/>
    <w:uiPriority w:val="30"/>
    <w:qFormat/>
    <w:rsid w:val="00396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B5F"/>
    <w:rPr>
      <w:i/>
      <w:iCs/>
      <w:color w:val="0F4761" w:themeColor="accent1" w:themeShade="BF"/>
    </w:rPr>
  </w:style>
  <w:style w:type="character" w:styleId="IntenseReference">
    <w:name w:val="Intense Reference"/>
    <w:basedOn w:val="DefaultParagraphFont"/>
    <w:uiPriority w:val="32"/>
    <w:qFormat/>
    <w:rsid w:val="00396B5F"/>
    <w:rPr>
      <w:b/>
      <w:bCs/>
      <w:smallCaps/>
      <w:color w:val="0F4761" w:themeColor="accent1" w:themeShade="BF"/>
      <w:spacing w:val="5"/>
    </w:rPr>
  </w:style>
  <w:style w:type="character" w:styleId="Hyperlink">
    <w:name w:val="Hyperlink"/>
    <w:basedOn w:val="DefaultParagraphFont"/>
    <w:uiPriority w:val="99"/>
    <w:unhideWhenUsed/>
    <w:rsid w:val="00396B5F"/>
    <w:rPr>
      <w:color w:val="467886" w:themeColor="hyperlink"/>
      <w:u w:val="single"/>
    </w:rPr>
  </w:style>
  <w:style w:type="character" w:styleId="UnresolvedMention">
    <w:name w:val="Unresolved Mention"/>
    <w:basedOn w:val="DefaultParagraphFont"/>
    <w:uiPriority w:val="99"/>
    <w:semiHidden/>
    <w:unhideWhenUsed/>
    <w:rsid w:val="00396B5F"/>
    <w:rPr>
      <w:color w:val="605E5C"/>
      <w:shd w:val="clear" w:color="auto" w:fill="E1DFDD"/>
    </w:rPr>
  </w:style>
  <w:style w:type="table" w:styleId="TableGrid">
    <w:name w:val="Table Grid"/>
    <w:basedOn w:val="TableNormal"/>
    <w:uiPriority w:val="39"/>
    <w:rsid w:val="0088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13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38"/>
  </w:style>
  <w:style w:type="paragraph" w:styleId="Footer">
    <w:name w:val="footer"/>
    <w:basedOn w:val="Normal"/>
    <w:link w:val="FooterChar"/>
    <w:uiPriority w:val="99"/>
    <w:unhideWhenUsed/>
    <w:rsid w:val="00AE13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38"/>
  </w:style>
  <w:style w:type="character" w:styleId="FollowedHyperlink">
    <w:name w:val="FollowedHyperlink"/>
    <w:basedOn w:val="DefaultParagraphFont"/>
    <w:uiPriority w:val="99"/>
    <w:semiHidden/>
    <w:unhideWhenUsed/>
    <w:rsid w:val="00C072F1"/>
    <w:rPr>
      <w:color w:val="96607D" w:themeColor="followedHyperlink"/>
      <w:u w:val="single"/>
    </w:rPr>
  </w:style>
  <w:style w:type="paragraph" w:styleId="Revision">
    <w:name w:val="Revision"/>
    <w:hidden/>
    <w:uiPriority w:val="99"/>
    <w:semiHidden/>
    <w:rsid w:val="00F319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18719">
      <w:bodyDiv w:val="1"/>
      <w:marLeft w:val="0"/>
      <w:marRight w:val="0"/>
      <w:marTop w:val="0"/>
      <w:marBottom w:val="0"/>
      <w:divBdr>
        <w:top w:val="none" w:sz="0" w:space="0" w:color="auto"/>
        <w:left w:val="none" w:sz="0" w:space="0" w:color="auto"/>
        <w:bottom w:val="none" w:sz="0" w:space="0" w:color="auto"/>
        <w:right w:val="none" w:sz="0" w:space="0" w:color="auto"/>
      </w:divBdr>
    </w:div>
    <w:div w:id="511145583">
      <w:bodyDiv w:val="1"/>
      <w:marLeft w:val="0"/>
      <w:marRight w:val="0"/>
      <w:marTop w:val="0"/>
      <w:marBottom w:val="0"/>
      <w:divBdr>
        <w:top w:val="none" w:sz="0" w:space="0" w:color="auto"/>
        <w:left w:val="none" w:sz="0" w:space="0" w:color="auto"/>
        <w:bottom w:val="none" w:sz="0" w:space="0" w:color="auto"/>
        <w:right w:val="none" w:sz="0" w:space="0" w:color="auto"/>
      </w:divBdr>
      <w:divsChild>
        <w:div w:id="226574515">
          <w:marLeft w:val="0"/>
          <w:marRight w:val="0"/>
          <w:marTop w:val="0"/>
          <w:marBottom w:val="0"/>
          <w:divBdr>
            <w:top w:val="none" w:sz="0" w:space="0" w:color="auto"/>
            <w:left w:val="none" w:sz="0" w:space="0" w:color="auto"/>
            <w:bottom w:val="none" w:sz="0" w:space="0" w:color="auto"/>
            <w:right w:val="none" w:sz="0" w:space="0" w:color="auto"/>
          </w:divBdr>
        </w:div>
        <w:div w:id="1131168341">
          <w:marLeft w:val="0"/>
          <w:marRight w:val="0"/>
          <w:marTop w:val="0"/>
          <w:marBottom w:val="0"/>
          <w:divBdr>
            <w:top w:val="none" w:sz="0" w:space="0" w:color="auto"/>
            <w:left w:val="none" w:sz="0" w:space="0" w:color="auto"/>
            <w:bottom w:val="none" w:sz="0" w:space="0" w:color="auto"/>
            <w:right w:val="none" w:sz="0" w:space="0" w:color="auto"/>
          </w:divBdr>
        </w:div>
        <w:div w:id="601649090">
          <w:marLeft w:val="0"/>
          <w:marRight w:val="0"/>
          <w:marTop w:val="0"/>
          <w:marBottom w:val="0"/>
          <w:divBdr>
            <w:top w:val="none" w:sz="0" w:space="0" w:color="auto"/>
            <w:left w:val="none" w:sz="0" w:space="0" w:color="auto"/>
            <w:bottom w:val="none" w:sz="0" w:space="0" w:color="auto"/>
            <w:right w:val="none" w:sz="0" w:space="0" w:color="auto"/>
          </w:divBdr>
          <w:divsChild>
            <w:div w:id="2064205893">
              <w:marLeft w:val="0"/>
              <w:marRight w:val="0"/>
              <w:marTop w:val="0"/>
              <w:marBottom w:val="0"/>
              <w:divBdr>
                <w:top w:val="none" w:sz="0" w:space="0" w:color="auto"/>
                <w:left w:val="none" w:sz="0" w:space="0" w:color="auto"/>
                <w:bottom w:val="none" w:sz="0" w:space="0" w:color="auto"/>
                <w:right w:val="none" w:sz="0" w:space="0" w:color="auto"/>
              </w:divBdr>
              <w:divsChild>
                <w:div w:id="11152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046031">
      <w:bodyDiv w:val="1"/>
      <w:marLeft w:val="0"/>
      <w:marRight w:val="0"/>
      <w:marTop w:val="0"/>
      <w:marBottom w:val="0"/>
      <w:divBdr>
        <w:top w:val="none" w:sz="0" w:space="0" w:color="auto"/>
        <w:left w:val="none" w:sz="0" w:space="0" w:color="auto"/>
        <w:bottom w:val="none" w:sz="0" w:space="0" w:color="auto"/>
        <w:right w:val="none" w:sz="0" w:space="0" w:color="auto"/>
      </w:divBdr>
      <w:divsChild>
        <w:div w:id="1774325710">
          <w:marLeft w:val="0"/>
          <w:marRight w:val="0"/>
          <w:marTop w:val="0"/>
          <w:marBottom w:val="0"/>
          <w:divBdr>
            <w:top w:val="none" w:sz="0" w:space="0" w:color="auto"/>
            <w:left w:val="none" w:sz="0" w:space="0" w:color="auto"/>
            <w:bottom w:val="none" w:sz="0" w:space="0" w:color="auto"/>
            <w:right w:val="none" w:sz="0" w:space="0" w:color="auto"/>
          </w:divBdr>
        </w:div>
        <w:div w:id="1506288523">
          <w:marLeft w:val="0"/>
          <w:marRight w:val="0"/>
          <w:marTop w:val="0"/>
          <w:marBottom w:val="0"/>
          <w:divBdr>
            <w:top w:val="none" w:sz="0" w:space="0" w:color="auto"/>
            <w:left w:val="none" w:sz="0" w:space="0" w:color="auto"/>
            <w:bottom w:val="none" w:sz="0" w:space="0" w:color="auto"/>
            <w:right w:val="none" w:sz="0" w:space="0" w:color="auto"/>
          </w:divBdr>
        </w:div>
        <w:div w:id="765002342">
          <w:marLeft w:val="0"/>
          <w:marRight w:val="0"/>
          <w:marTop w:val="0"/>
          <w:marBottom w:val="0"/>
          <w:divBdr>
            <w:top w:val="none" w:sz="0" w:space="0" w:color="auto"/>
            <w:left w:val="none" w:sz="0" w:space="0" w:color="auto"/>
            <w:bottom w:val="none" w:sz="0" w:space="0" w:color="auto"/>
            <w:right w:val="none" w:sz="0" w:space="0" w:color="auto"/>
          </w:divBdr>
        </w:div>
        <w:div w:id="403527792">
          <w:marLeft w:val="0"/>
          <w:marRight w:val="0"/>
          <w:marTop w:val="0"/>
          <w:marBottom w:val="0"/>
          <w:divBdr>
            <w:top w:val="none" w:sz="0" w:space="0" w:color="auto"/>
            <w:left w:val="none" w:sz="0" w:space="0" w:color="auto"/>
            <w:bottom w:val="none" w:sz="0" w:space="0" w:color="auto"/>
            <w:right w:val="none" w:sz="0" w:space="0" w:color="auto"/>
          </w:divBdr>
        </w:div>
        <w:div w:id="1501041145">
          <w:marLeft w:val="0"/>
          <w:marRight w:val="0"/>
          <w:marTop w:val="0"/>
          <w:marBottom w:val="0"/>
          <w:divBdr>
            <w:top w:val="none" w:sz="0" w:space="0" w:color="auto"/>
            <w:left w:val="none" w:sz="0" w:space="0" w:color="auto"/>
            <w:bottom w:val="none" w:sz="0" w:space="0" w:color="auto"/>
            <w:right w:val="none" w:sz="0" w:space="0" w:color="auto"/>
          </w:divBdr>
        </w:div>
        <w:div w:id="373627693">
          <w:marLeft w:val="0"/>
          <w:marRight w:val="0"/>
          <w:marTop w:val="0"/>
          <w:marBottom w:val="0"/>
          <w:divBdr>
            <w:top w:val="none" w:sz="0" w:space="0" w:color="auto"/>
            <w:left w:val="none" w:sz="0" w:space="0" w:color="auto"/>
            <w:bottom w:val="none" w:sz="0" w:space="0" w:color="auto"/>
            <w:right w:val="none" w:sz="0" w:space="0" w:color="auto"/>
          </w:divBdr>
        </w:div>
        <w:div w:id="465977973">
          <w:marLeft w:val="0"/>
          <w:marRight w:val="0"/>
          <w:marTop w:val="0"/>
          <w:marBottom w:val="0"/>
          <w:divBdr>
            <w:top w:val="none" w:sz="0" w:space="0" w:color="auto"/>
            <w:left w:val="none" w:sz="0" w:space="0" w:color="auto"/>
            <w:bottom w:val="none" w:sz="0" w:space="0" w:color="auto"/>
            <w:right w:val="none" w:sz="0" w:space="0" w:color="auto"/>
          </w:divBdr>
        </w:div>
        <w:div w:id="353455975">
          <w:marLeft w:val="0"/>
          <w:marRight w:val="0"/>
          <w:marTop w:val="0"/>
          <w:marBottom w:val="0"/>
          <w:divBdr>
            <w:top w:val="none" w:sz="0" w:space="0" w:color="auto"/>
            <w:left w:val="none" w:sz="0" w:space="0" w:color="auto"/>
            <w:bottom w:val="none" w:sz="0" w:space="0" w:color="auto"/>
            <w:right w:val="none" w:sz="0" w:space="0" w:color="auto"/>
          </w:divBdr>
        </w:div>
        <w:div w:id="1274365954">
          <w:marLeft w:val="0"/>
          <w:marRight w:val="0"/>
          <w:marTop w:val="0"/>
          <w:marBottom w:val="0"/>
          <w:divBdr>
            <w:top w:val="none" w:sz="0" w:space="0" w:color="auto"/>
            <w:left w:val="none" w:sz="0" w:space="0" w:color="auto"/>
            <w:bottom w:val="none" w:sz="0" w:space="0" w:color="auto"/>
            <w:right w:val="none" w:sz="0" w:space="0" w:color="auto"/>
          </w:divBdr>
        </w:div>
        <w:div w:id="54820728">
          <w:marLeft w:val="0"/>
          <w:marRight w:val="0"/>
          <w:marTop w:val="0"/>
          <w:marBottom w:val="0"/>
          <w:divBdr>
            <w:top w:val="none" w:sz="0" w:space="0" w:color="auto"/>
            <w:left w:val="none" w:sz="0" w:space="0" w:color="auto"/>
            <w:bottom w:val="none" w:sz="0" w:space="0" w:color="auto"/>
            <w:right w:val="none" w:sz="0" w:space="0" w:color="auto"/>
          </w:divBdr>
        </w:div>
        <w:div w:id="1407190015">
          <w:marLeft w:val="0"/>
          <w:marRight w:val="0"/>
          <w:marTop w:val="0"/>
          <w:marBottom w:val="0"/>
          <w:divBdr>
            <w:top w:val="none" w:sz="0" w:space="0" w:color="auto"/>
            <w:left w:val="none" w:sz="0" w:space="0" w:color="auto"/>
            <w:bottom w:val="none" w:sz="0" w:space="0" w:color="auto"/>
            <w:right w:val="none" w:sz="0" w:space="0" w:color="auto"/>
          </w:divBdr>
        </w:div>
        <w:div w:id="1247302028">
          <w:marLeft w:val="0"/>
          <w:marRight w:val="0"/>
          <w:marTop w:val="0"/>
          <w:marBottom w:val="0"/>
          <w:divBdr>
            <w:top w:val="none" w:sz="0" w:space="0" w:color="auto"/>
            <w:left w:val="none" w:sz="0" w:space="0" w:color="auto"/>
            <w:bottom w:val="none" w:sz="0" w:space="0" w:color="auto"/>
            <w:right w:val="none" w:sz="0" w:space="0" w:color="auto"/>
          </w:divBdr>
        </w:div>
        <w:div w:id="129979229">
          <w:marLeft w:val="0"/>
          <w:marRight w:val="0"/>
          <w:marTop w:val="0"/>
          <w:marBottom w:val="0"/>
          <w:divBdr>
            <w:top w:val="none" w:sz="0" w:space="0" w:color="auto"/>
            <w:left w:val="none" w:sz="0" w:space="0" w:color="auto"/>
            <w:bottom w:val="none" w:sz="0" w:space="0" w:color="auto"/>
            <w:right w:val="none" w:sz="0" w:space="0" w:color="auto"/>
          </w:divBdr>
        </w:div>
        <w:div w:id="1208759162">
          <w:marLeft w:val="0"/>
          <w:marRight w:val="0"/>
          <w:marTop w:val="0"/>
          <w:marBottom w:val="0"/>
          <w:divBdr>
            <w:top w:val="none" w:sz="0" w:space="0" w:color="auto"/>
            <w:left w:val="none" w:sz="0" w:space="0" w:color="auto"/>
            <w:bottom w:val="none" w:sz="0" w:space="0" w:color="auto"/>
            <w:right w:val="none" w:sz="0" w:space="0" w:color="auto"/>
          </w:divBdr>
        </w:div>
        <w:div w:id="1852646068">
          <w:marLeft w:val="0"/>
          <w:marRight w:val="0"/>
          <w:marTop w:val="0"/>
          <w:marBottom w:val="0"/>
          <w:divBdr>
            <w:top w:val="none" w:sz="0" w:space="0" w:color="auto"/>
            <w:left w:val="none" w:sz="0" w:space="0" w:color="auto"/>
            <w:bottom w:val="none" w:sz="0" w:space="0" w:color="auto"/>
            <w:right w:val="none" w:sz="0" w:space="0" w:color="auto"/>
          </w:divBdr>
        </w:div>
        <w:div w:id="1983347843">
          <w:marLeft w:val="0"/>
          <w:marRight w:val="0"/>
          <w:marTop w:val="0"/>
          <w:marBottom w:val="0"/>
          <w:divBdr>
            <w:top w:val="none" w:sz="0" w:space="0" w:color="auto"/>
            <w:left w:val="none" w:sz="0" w:space="0" w:color="auto"/>
            <w:bottom w:val="none" w:sz="0" w:space="0" w:color="auto"/>
            <w:right w:val="none" w:sz="0" w:space="0" w:color="auto"/>
          </w:divBdr>
        </w:div>
        <w:div w:id="1383555404">
          <w:marLeft w:val="0"/>
          <w:marRight w:val="0"/>
          <w:marTop w:val="0"/>
          <w:marBottom w:val="0"/>
          <w:divBdr>
            <w:top w:val="none" w:sz="0" w:space="0" w:color="auto"/>
            <w:left w:val="none" w:sz="0" w:space="0" w:color="auto"/>
            <w:bottom w:val="none" w:sz="0" w:space="0" w:color="auto"/>
            <w:right w:val="none" w:sz="0" w:space="0" w:color="auto"/>
          </w:divBdr>
        </w:div>
        <w:div w:id="1148665884">
          <w:marLeft w:val="0"/>
          <w:marRight w:val="0"/>
          <w:marTop w:val="0"/>
          <w:marBottom w:val="0"/>
          <w:divBdr>
            <w:top w:val="none" w:sz="0" w:space="0" w:color="auto"/>
            <w:left w:val="none" w:sz="0" w:space="0" w:color="auto"/>
            <w:bottom w:val="none" w:sz="0" w:space="0" w:color="auto"/>
            <w:right w:val="none" w:sz="0" w:space="0" w:color="auto"/>
          </w:divBdr>
        </w:div>
        <w:div w:id="442188926">
          <w:marLeft w:val="0"/>
          <w:marRight w:val="0"/>
          <w:marTop w:val="0"/>
          <w:marBottom w:val="0"/>
          <w:divBdr>
            <w:top w:val="none" w:sz="0" w:space="0" w:color="auto"/>
            <w:left w:val="none" w:sz="0" w:space="0" w:color="auto"/>
            <w:bottom w:val="none" w:sz="0" w:space="0" w:color="auto"/>
            <w:right w:val="none" w:sz="0" w:space="0" w:color="auto"/>
          </w:divBdr>
        </w:div>
        <w:div w:id="834952546">
          <w:marLeft w:val="0"/>
          <w:marRight w:val="0"/>
          <w:marTop w:val="0"/>
          <w:marBottom w:val="0"/>
          <w:divBdr>
            <w:top w:val="none" w:sz="0" w:space="0" w:color="auto"/>
            <w:left w:val="none" w:sz="0" w:space="0" w:color="auto"/>
            <w:bottom w:val="none" w:sz="0" w:space="0" w:color="auto"/>
            <w:right w:val="none" w:sz="0" w:space="0" w:color="auto"/>
          </w:divBdr>
        </w:div>
        <w:div w:id="669065683">
          <w:marLeft w:val="0"/>
          <w:marRight w:val="0"/>
          <w:marTop w:val="0"/>
          <w:marBottom w:val="0"/>
          <w:divBdr>
            <w:top w:val="none" w:sz="0" w:space="0" w:color="auto"/>
            <w:left w:val="none" w:sz="0" w:space="0" w:color="auto"/>
            <w:bottom w:val="none" w:sz="0" w:space="0" w:color="auto"/>
            <w:right w:val="none" w:sz="0" w:space="0" w:color="auto"/>
          </w:divBdr>
        </w:div>
        <w:div w:id="539904200">
          <w:marLeft w:val="0"/>
          <w:marRight w:val="0"/>
          <w:marTop w:val="0"/>
          <w:marBottom w:val="0"/>
          <w:divBdr>
            <w:top w:val="none" w:sz="0" w:space="0" w:color="auto"/>
            <w:left w:val="none" w:sz="0" w:space="0" w:color="auto"/>
            <w:bottom w:val="none" w:sz="0" w:space="0" w:color="auto"/>
            <w:right w:val="none" w:sz="0" w:space="0" w:color="auto"/>
          </w:divBdr>
        </w:div>
        <w:div w:id="1150559383">
          <w:marLeft w:val="0"/>
          <w:marRight w:val="0"/>
          <w:marTop w:val="0"/>
          <w:marBottom w:val="0"/>
          <w:divBdr>
            <w:top w:val="none" w:sz="0" w:space="0" w:color="auto"/>
            <w:left w:val="none" w:sz="0" w:space="0" w:color="auto"/>
            <w:bottom w:val="none" w:sz="0" w:space="0" w:color="auto"/>
            <w:right w:val="none" w:sz="0" w:space="0" w:color="auto"/>
          </w:divBdr>
        </w:div>
        <w:div w:id="1477648916">
          <w:marLeft w:val="0"/>
          <w:marRight w:val="0"/>
          <w:marTop w:val="0"/>
          <w:marBottom w:val="0"/>
          <w:divBdr>
            <w:top w:val="none" w:sz="0" w:space="0" w:color="auto"/>
            <w:left w:val="none" w:sz="0" w:space="0" w:color="auto"/>
            <w:bottom w:val="none" w:sz="0" w:space="0" w:color="auto"/>
            <w:right w:val="none" w:sz="0" w:space="0" w:color="auto"/>
          </w:divBdr>
        </w:div>
        <w:div w:id="1949192924">
          <w:marLeft w:val="0"/>
          <w:marRight w:val="0"/>
          <w:marTop w:val="0"/>
          <w:marBottom w:val="0"/>
          <w:divBdr>
            <w:top w:val="none" w:sz="0" w:space="0" w:color="auto"/>
            <w:left w:val="none" w:sz="0" w:space="0" w:color="auto"/>
            <w:bottom w:val="none" w:sz="0" w:space="0" w:color="auto"/>
            <w:right w:val="none" w:sz="0" w:space="0" w:color="auto"/>
          </w:divBdr>
        </w:div>
        <w:div w:id="1900046967">
          <w:marLeft w:val="0"/>
          <w:marRight w:val="0"/>
          <w:marTop w:val="0"/>
          <w:marBottom w:val="0"/>
          <w:divBdr>
            <w:top w:val="none" w:sz="0" w:space="0" w:color="auto"/>
            <w:left w:val="none" w:sz="0" w:space="0" w:color="auto"/>
            <w:bottom w:val="none" w:sz="0" w:space="0" w:color="auto"/>
            <w:right w:val="none" w:sz="0" w:space="0" w:color="auto"/>
          </w:divBdr>
        </w:div>
        <w:div w:id="2096901640">
          <w:marLeft w:val="0"/>
          <w:marRight w:val="0"/>
          <w:marTop w:val="0"/>
          <w:marBottom w:val="0"/>
          <w:divBdr>
            <w:top w:val="none" w:sz="0" w:space="0" w:color="auto"/>
            <w:left w:val="none" w:sz="0" w:space="0" w:color="auto"/>
            <w:bottom w:val="none" w:sz="0" w:space="0" w:color="auto"/>
            <w:right w:val="none" w:sz="0" w:space="0" w:color="auto"/>
          </w:divBdr>
        </w:div>
        <w:div w:id="292757890">
          <w:marLeft w:val="0"/>
          <w:marRight w:val="0"/>
          <w:marTop w:val="0"/>
          <w:marBottom w:val="0"/>
          <w:divBdr>
            <w:top w:val="none" w:sz="0" w:space="0" w:color="auto"/>
            <w:left w:val="none" w:sz="0" w:space="0" w:color="auto"/>
            <w:bottom w:val="none" w:sz="0" w:space="0" w:color="auto"/>
            <w:right w:val="none" w:sz="0" w:space="0" w:color="auto"/>
          </w:divBdr>
        </w:div>
        <w:div w:id="2110276450">
          <w:marLeft w:val="0"/>
          <w:marRight w:val="0"/>
          <w:marTop w:val="0"/>
          <w:marBottom w:val="0"/>
          <w:divBdr>
            <w:top w:val="none" w:sz="0" w:space="0" w:color="auto"/>
            <w:left w:val="none" w:sz="0" w:space="0" w:color="auto"/>
            <w:bottom w:val="none" w:sz="0" w:space="0" w:color="auto"/>
            <w:right w:val="none" w:sz="0" w:space="0" w:color="auto"/>
          </w:divBdr>
        </w:div>
        <w:div w:id="619460911">
          <w:marLeft w:val="0"/>
          <w:marRight w:val="0"/>
          <w:marTop w:val="0"/>
          <w:marBottom w:val="0"/>
          <w:divBdr>
            <w:top w:val="none" w:sz="0" w:space="0" w:color="auto"/>
            <w:left w:val="none" w:sz="0" w:space="0" w:color="auto"/>
            <w:bottom w:val="none" w:sz="0" w:space="0" w:color="auto"/>
            <w:right w:val="none" w:sz="0" w:space="0" w:color="auto"/>
          </w:divBdr>
        </w:div>
        <w:div w:id="1662156002">
          <w:marLeft w:val="0"/>
          <w:marRight w:val="0"/>
          <w:marTop w:val="0"/>
          <w:marBottom w:val="0"/>
          <w:divBdr>
            <w:top w:val="none" w:sz="0" w:space="0" w:color="auto"/>
            <w:left w:val="none" w:sz="0" w:space="0" w:color="auto"/>
            <w:bottom w:val="none" w:sz="0" w:space="0" w:color="auto"/>
            <w:right w:val="none" w:sz="0" w:space="0" w:color="auto"/>
          </w:divBdr>
        </w:div>
        <w:div w:id="347558896">
          <w:marLeft w:val="0"/>
          <w:marRight w:val="0"/>
          <w:marTop w:val="0"/>
          <w:marBottom w:val="0"/>
          <w:divBdr>
            <w:top w:val="none" w:sz="0" w:space="0" w:color="auto"/>
            <w:left w:val="none" w:sz="0" w:space="0" w:color="auto"/>
            <w:bottom w:val="none" w:sz="0" w:space="0" w:color="auto"/>
            <w:right w:val="none" w:sz="0" w:space="0" w:color="auto"/>
          </w:divBdr>
        </w:div>
        <w:div w:id="1358970814">
          <w:marLeft w:val="0"/>
          <w:marRight w:val="0"/>
          <w:marTop w:val="0"/>
          <w:marBottom w:val="0"/>
          <w:divBdr>
            <w:top w:val="none" w:sz="0" w:space="0" w:color="auto"/>
            <w:left w:val="none" w:sz="0" w:space="0" w:color="auto"/>
            <w:bottom w:val="none" w:sz="0" w:space="0" w:color="auto"/>
            <w:right w:val="none" w:sz="0" w:space="0" w:color="auto"/>
          </w:divBdr>
        </w:div>
        <w:div w:id="1838573829">
          <w:marLeft w:val="0"/>
          <w:marRight w:val="0"/>
          <w:marTop w:val="0"/>
          <w:marBottom w:val="0"/>
          <w:divBdr>
            <w:top w:val="none" w:sz="0" w:space="0" w:color="auto"/>
            <w:left w:val="none" w:sz="0" w:space="0" w:color="auto"/>
            <w:bottom w:val="none" w:sz="0" w:space="0" w:color="auto"/>
            <w:right w:val="none" w:sz="0" w:space="0" w:color="auto"/>
          </w:divBdr>
        </w:div>
        <w:div w:id="29688453">
          <w:marLeft w:val="0"/>
          <w:marRight w:val="0"/>
          <w:marTop w:val="0"/>
          <w:marBottom w:val="0"/>
          <w:divBdr>
            <w:top w:val="none" w:sz="0" w:space="0" w:color="auto"/>
            <w:left w:val="none" w:sz="0" w:space="0" w:color="auto"/>
            <w:bottom w:val="none" w:sz="0" w:space="0" w:color="auto"/>
            <w:right w:val="none" w:sz="0" w:space="0" w:color="auto"/>
          </w:divBdr>
        </w:div>
        <w:div w:id="539827642">
          <w:marLeft w:val="0"/>
          <w:marRight w:val="0"/>
          <w:marTop w:val="0"/>
          <w:marBottom w:val="0"/>
          <w:divBdr>
            <w:top w:val="none" w:sz="0" w:space="0" w:color="auto"/>
            <w:left w:val="none" w:sz="0" w:space="0" w:color="auto"/>
            <w:bottom w:val="none" w:sz="0" w:space="0" w:color="auto"/>
            <w:right w:val="none" w:sz="0" w:space="0" w:color="auto"/>
          </w:divBdr>
        </w:div>
        <w:div w:id="1925070527">
          <w:marLeft w:val="0"/>
          <w:marRight w:val="0"/>
          <w:marTop w:val="0"/>
          <w:marBottom w:val="0"/>
          <w:divBdr>
            <w:top w:val="none" w:sz="0" w:space="0" w:color="auto"/>
            <w:left w:val="none" w:sz="0" w:space="0" w:color="auto"/>
            <w:bottom w:val="none" w:sz="0" w:space="0" w:color="auto"/>
            <w:right w:val="none" w:sz="0" w:space="0" w:color="auto"/>
          </w:divBdr>
        </w:div>
        <w:div w:id="1308823852">
          <w:marLeft w:val="0"/>
          <w:marRight w:val="0"/>
          <w:marTop w:val="0"/>
          <w:marBottom w:val="0"/>
          <w:divBdr>
            <w:top w:val="none" w:sz="0" w:space="0" w:color="auto"/>
            <w:left w:val="none" w:sz="0" w:space="0" w:color="auto"/>
            <w:bottom w:val="none" w:sz="0" w:space="0" w:color="auto"/>
            <w:right w:val="none" w:sz="0" w:space="0" w:color="auto"/>
          </w:divBdr>
        </w:div>
        <w:div w:id="1613169044">
          <w:marLeft w:val="0"/>
          <w:marRight w:val="0"/>
          <w:marTop w:val="0"/>
          <w:marBottom w:val="0"/>
          <w:divBdr>
            <w:top w:val="none" w:sz="0" w:space="0" w:color="auto"/>
            <w:left w:val="none" w:sz="0" w:space="0" w:color="auto"/>
            <w:bottom w:val="none" w:sz="0" w:space="0" w:color="auto"/>
            <w:right w:val="none" w:sz="0" w:space="0" w:color="auto"/>
          </w:divBdr>
        </w:div>
        <w:div w:id="471794140">
          <w:marLeft w:val="0"/>
          <w:marRight w:val="0"/>
          <w:marTop w:val="0"/>
          <w:marBottom w:val="0"/>
          <w:divBdr>
            <w:top w:val="none" w:sz="0" w:space="0" w:color="auto"/>
            <w:left w:val="none" w:sz="0" w:space="0" w:color="auto"/>
            <w:bottom w:val="none" w:sz="0" w:space="0" w:color="auto"/>
            <w:right w:val="none" w:sz="0" w:space="0" w:color="auto"/>
          </w:divBdr>
        </w:div>
        <w:div w:id="1436949187">
          <w:marLeft w:val="0"/>
          <w:marRight w:val="0"/>
          <w:marTop w:val="0"/>
          <w:marBottom w:val="0"/>
          <w:divBdr>
            <w:top w:val="none" w:sz="0" w:space="0" w:color="auto"/>
            <w:left w:val="none" w:sz="0" w:space="0" w:color="auto"/>
            <w:bottom w:val="none" w:sz="0" w:space="0" w:color="auto"/>
            <w:right w:val="none" w:sz="0" w:space="0" w:color="auto"/>
          </w:divBdr>
        </w:div>
        <w:div w:id="1236938311">
          <w:marLeft w:val="0"/>
          <w:marRight w:val="0"/>
          <w:marTop w:val="0"/>
          <w:marBottom w:val="0"/>
          <w:divBdr>
            <w:top w:val="none" w:sz="0" w:space="0" w:color="auto"/>
            <w:left w:val="none" w:sz="0" w:space="0" w:color="auto"/>
            <w:bottom w:val="none" w:sz="0" w:space="0" w:color="auto"/>
            <w:right w:val="none" w:sz="0" w:space="0" w:color="auto"/>
          </w:divBdr>
        </w:div>
        <w:div w:id="1854955065">
          <w:marLeft w:val="0"/>
          <w:marRight w:val="0"/>
          <w:marTop w:val="0"/>
          <w:marBottom w:val="0"/>
          <w:divBdr>
            <w:top w:val="none" w:sz="0" w:space="0" w:color="auto"/>
            <w:left w:val="none" w:sz="0" w:space="0" w:color="auto"/>
            <w:bottom w:val="none" w:sz="0" w:space="0" w:color="auto"/>
            <w:right w:val="none" w:sz="0" w:space="0" w:color="auto"/>
          </w:divBdr>
        </w:div>
        <w:div w:id="1563902770">
          <w:marLeft w:val="0"/>
          <w:marRight w:val="0"/>
          <w:marTop w:val="0"/>
          <w:marBottom w:val="0"/>
          <w:divBdr>
            <w:top w:val="none" w:sz="0" w:space="0" w:color="auto"/>
            <w:left w:val="none" w:sz="0" w:space="0" w:color="auto"/>
            <w:bottom w:val="none" w:sz="0" w:space="0" w:color="auto"/>
            <w:right w:val="none" w:sz="0" w:space="0" w:color="auto"/>
          </w:divBdr>
        </w:div>
        <w:div w:id="2138525878">
          <w:marLeft w:val="0"/>
          <w:marRight w:val="0"/>
          <w:marTop w:val="0"/>
          <w:marBottom w:val="0"/>
          <w:divBdr>
            <w:top w:val="none" w:sz="0" w:space="0" w:color="auto"/>
            <w:left w:val="none" w:sz="0" w:space="0" w:color="auto"/>
            <w:bottom w:val="none" w:sz="0" w:space="0" w:color="auto"/>
            <w:right w:val="none" w:sz="0" w:space="0" w:color="auto"/>
          </w:divBdr>
        </w:div>
        <w:div w:id="1939367847">
          <w:marLeft w:val="0"/>
          <w:marRight w:val="0"/>
          <w:marTop w:val="0"/>
          <w:marBottom w:val="0"/>
          <w:divBdr>
            <w:top w:val="none" w:sz="0" w:space="0" w:color="auto"/>
            <w:left w:val="none" w:sz="0" w:space="0" w:color="auto"/>
            <w:bottom w:val="none" w:sz="0" w:space="0" w:color="auto"/>
            <w:right w:val="none" w:sz="0" w:space="0" w:color="auto"/>
          </w:divBdr>
        </w:div>
        <w:div w:id="350498631">
          <w:marLeft w:val="0"/>
          <w:marRight w:val="0"/>
          <w:marTop w:val="0"/>
          <w:marBottom w:val="0"/>
          <w:divBdr>
            <w:top w:val="none" w:sz="0" w:space="0" w:color="auto"/>
            <w:left w:val="none" w:sz="0" w:space="0" w:color="auto"/>
            <w:bottom w:val="none" w:sz="0" w:space="0" w:color="auto"/>
            <w:right w:val="none" w:sz="0" w:space="0" w:color="auto"/>
          </w:divBdr>
        </w:div>
        <w:div w:id="1468356188">
          <w:marLeft w:val="0"/>
          <w:marRight w:val="0"/>
          <w:marTop w:val="0"/>
          <w:marBottom w:val="0"/>
          <w:divBdr>
            <w:top w:val="none" w:sz="0" w:space="0" w:color="auto"/>
            <w:left w:val="none" w:sz="0" w:space="0" w:color="auto"/>
            <w:bottom w:val="none" w:sz="0" w:space="0" w:color="auto"/>
            <w:right w:val="none" w:sz="0" w:space="0" w:color="auto"/>
          </w:divBdr>
        </w:div>
        <w:div w:id="734359750">
          <w:marLeft w:val="0"/>
          <w:marRight w:val="0"/>
          <w:marTop w:val="0"/>
          <w:marBottom w:val="0"/>
          <w:divBdr>
            <w:top w:val="none" w:sz="0" w:space="0" w:color="auto"/>
            <w:left w:val="none" w:sz="0" w:space="0" w:color="auto"/>
            <w:bottom w:val="none" w:sz="0" w:space="0" w:color="auto"/>
            <w:right w:val="none" w:sz="0" w:space="0" w:color="auto"/>
          </w:divBdr>
        </w:div>
        <w:div w:id="2016959178">
          <w:marLeft w:val="0"/>
          <w:marRight w:val="0"/>
          <w:marTop w:val="0"/>
          <w:marBottom w:val="0"/>
          <w:divBdr>
            <w:top w:val="none" w:sz="0" w:space="0" w:color="auto"/>
            <w:left w:val="none" w:sz="0" w:space="0" w:color="auto"/>
            <w:bottom w:val="none" w:sz="0" w:space="0" w:color="auto"/>
            <w:right w:val="none" w:sz="0" w:space="0" w:color="auto"/>
          </w:divBdr>
        </w:div>
        <w:div w:id="753624180">
          <w:marLeft w:val="0"/>
          <w:marRight w:val="0"/>
          <w:marTop w:val="0"/>
          <w:marBottom w:val="0"/>
          <w:divBdr>
            <w:top w:val="none" w:sz="0" w:space="0" w:color="auto"/>
            <w:left w:val="none" w:sz="0" w:space="0" w:color="auto"/>
            <w:bottom w:val="none" w:sz="0" w:space="0" w:color="auto"/>
            <w:right w:val="none" w:sz="0" w:space="0" w:color="auto"/>
          </w:divBdr>
        </w:div>
        <w:div w:id="1763263520">
          <w:marLeft w:val="0"/>
          <w:marRight w:val="0"/>
          <w:marTop w:val="0"/>
          <w:marBottom w:val="0"/>
          <w:divBdr>
            <w:top w:val="none" w:sz="0" w:space="0" w:color="auto"/>
            <w:left w:val="none" w:sz="0" w:space="0" w:color="auto"/>
            <w:bottom w:val="none" w:sz="0" w:space="0" w:color="auto"/>
            <w:right w:val="none" w:sz="0" w:space="0" w:color="auto"/>
          </w:divBdr>
        </w:div>
        <w:div w:id="716202725">
          <w:marLeft w:val="0"/>
          <w:marRight w:val="0"/>
          <w:marTop w:val="0"/>
          <w:marBottom w:val="0"/>
          <w:divBdr>
            <w:top w:val="none" w:sz="0" w:space="0" w:color="auto"/>
            <w:left w:val="none" w:sz="0" w:space="0" w:color="auto"/>
            <w:bottom w:val="none" w:sz="0" w:space="0" w:color="auto"/>
            <w:right w:val="none" w:sz="0" w:space="0" w:color="auto"/>
          </w:divBdr>
        </w:div>
        <w:div w:id="2125148644">
          <w:marLeft w:val="0"/>
          <w:marRight w:val="0"/>
          <w:marTop w:val="0"/>
          <w:marBottom w:val="0"/>
          <w:divBdr>
            <w:top w:val="none" w:sz="0" w:space="0" w:color="auto"/>
            <w:left w:val="none" w:sz="0" w:space="0" w:color="auto"/>
            <w:bottom w:val="none" w:sz="0" w:space="0" w:color="auto"/>
            <w:right w:val="none" w:sz="0" w:space="0" w:color="auto"/>
          </w:divBdr>
        </w:div>
        <w:div w:id="75982753">
          <w:marLeft w:val="0"/>
          <w:marRight w:val="0"/>
          <w:marTop w:val="0"/>
          <w:marBottom w:val="0"/>
          <w:divBdr>
            <w:top w:val="none" w:sz="0" w:space="0" w:color="auto"/>
            <w:left w:val="none" w:sz="0" w:space="0" w:color="auto"/>
            <w:bottom w:val="none" w:sz="0" w:space="0" w:color="auto"/>
            <w:right w:val="none" w:sz="0" w:space="0" w:color="auto"/>
          </w:divBdr>
        </w:div>
        <w:div w:id="544174339">
          <w:marLeft w:val="0"/>
          <w:marRight w:val="0"/>
          <w:marTop w:val="0"/>
          <w:marBottom w:val="0"/>
          <w:divBdr>
            <w:top w:val="none" w:sz="0" w:space="0" w:color="auto"/>
            <w:left w:val="none" w:sz="0" w:space="0" w:color="auto"/>
            <w:bottom w:val="none" w:sz="0" w:space="0" w:color="auto"/>
            <w:right w:val="none" w:sz="0" w:space="0" w:color="auto"/>
          </w:divBdr>
        </w:div>
        <w:div w:id="751392581">
          <w:marLeft w:val="0"/>
          <w:marRight w:val="0"/>
          <w:marTop w:val="0"/>
          <w:marBottom w:val="0"/>
          <w:divBdr>
            <w:top w:val="none" w:sz="0" w:space="0" w:color="auto"/>
            <w:left w:val="none" w:sz="0" w:space="0" w:color="auto"/>
            <w:bottom w:val="none" w:sz="0" w:space="0" w:color="auto"/>
            <w:right w:val="none" w:sz="0" w:space="0" w:color="auto"/>
          </w:divBdr>
        </w:div>
        <w:div w:id="573125658">
          <w:marLeft w:val="0"/>
          <w:marRight w:val="0"/>
          <w:marTop w:val="0"/>
          <w:marBottom w:val="0"/>
          <w:divBdr>
            <w:top w:val="none" w:sz="0" w:space="0" w:color="auto"/>
            <w:left w:val="none" w:sz="0" w:space="0" w:color="auto"/>
            <w:bottom w:val="none" w:sz="0" w:space="0" w:color="auto"/>
            <w:right w:val="none" w:sz="0" w:space="0" w:color="auto"/>
          </w:divBdr>
        </w:div>
        <w:div w:id="1926843184">
          <w:marLeft w:val="0"/>
          <w:marRight w:val="0"/>
          <w:marTop w:val="0"/>
          <w:marBottom w:val="0"/>
          <w:divBdr>
            <w:top w:val="none" w:sz="0" w:space="0" w:color="auto"/>
            <w:left w:val="none" w:sz="0" w:space="0" w:color="auto"/>
            <w:bottom w:val="none" w:sz="0" w:space="0" w:color="auto"/>
            <w:right w:val="none" w:sz="0" w:space="0" w:color="auto"/>
          </w:divBdr>
        </w:div>
        <w:div w:id="188220804">
          <w:marLeft w:val="0"/>
          <w:marRight w:val="0"/>
          <w:marTop w:val="0"/>
          <w:marBottom w:val="0"/>
          <w:divBdr>
            <w:top w:val="none" w:sz="0" w:space="0" w:color="auto"/>
            <w:left w:val="none" w:sz="0" w:space="0" w:color="auto"/>
            <w:bottom w:val="none" w:sz="0" w:space="0" w:color="auto"/>
            <w:right w:val="none" w:sz="0" w:space="0" w:color="auto"/>
          </w:divBdr>
        </w:div>
        <w:div w:id="638340463">
          <w:marLeft w:val="0"/>
          <w:marRight w:val="0"/>
          <w:marTop w:val="0"/>
          <w:marBottom w:val="0"/>
          <w:divBdr>
            <w:top w:val="none" w:sz="0" w:space="0" w:color="auto"/>
            <w:left w:val="none" w:sz="0" w:space="0" w:color="auto"/>
            <w:bottom w:val="none" w:sz="0" w:space="0" w:color="auto"/>
            <w:right w:val="none" w:sz="0" w:space="0" w:color="auto"/>
          </w:divBdr>
        </w:div>
        <w:div w:id="1242527055">
          <w:marLeft w:val="0"/>
          <w:marRight w:val="0"/>
          <w:marTop w:val="0"/>
          <w:marBottom w:val="0"/>
          <w:divBdr>
            <w:top w:val="none" w:sz="0" w:space="0" w:color="auto"/>
            <w:left w:val="none" w:sz="0" w:space="0" w:color="auto"/>
            <w:bottom w:val="none" w:sz="0" w:space="0" w:color="auto"/>
            <w:right w:val="none" w:sz="0" w:space="0" w:color="auto"/>
          </w:divBdr>
        </w:div>
        <w:div w:id="110100909">
          <w:marLeft w:val="0"/>
          <w:marRight w:val="0"/>
          <w:marTop w:val="0"/>
          <w:marBottom w:val="0"/>
          <w:divBdr>
            <w:top w:val="none" w:sz="0" w:space="0" w:color="auto"/>
            <w:left w:val="none" w:sz="0" w:space="0" w:color="auto"/>
            <w:bottom w:val="none" w:sz="0" w:space="0" w:color="auto"/>
            <w:right w:val="none" w:sz="0" w:space="0" w:color="auto"/>
          </w:divBdr>
        </w:div>
        <w:div w:id="1198007690">
          <w:marLeft w:val="0"/>
          <w:marRight w:val="0"/>
          <w:marTop w:val="0"/>
          <w:marBottom w:val="0"/>
          <w:divBdr>
            <w:top w:val="none" w:sz="0" w:space="0" w:color="auto"/>
            <w:left w:val="none" w:sz="0" w:space="0" w:color="auto"/>
            <w:bottom w:val="none" w:sz="0" w:space="0" w:color="auto"/>
            <w:right w:val="none" w:sz="0" w:space="0" w:color="auto"/>
          </w:divBdr>
        </w:div>
        <w:div w:id="735513329">
          <w:marLeft w:val="0"/>
          <w:marRight w:val="0"/>
          <w:marTop w:val="0"/>
          <w:marBottom w:val="0"/>
          <w:divBdr>
            <w:top w:val="none" w:sz="0" w:space="0" w:color="auto"/>
            <w:left w:val="none" w:sz="0" w:space="0" w:color="auto"/>
            <w:bottom w:val="none" w:sz="0" w:space="0" w:color="auto"/>
            <w:right w:val="none" w:sz="0" w:space="0" w:color="auto"/>
          </w:divBdr>
        </w:div>
        <w:div w:id="1103379034">
          <w:marLeft w:val="0"/>
          <w:marRight w:val="0"/>
          <w:marTop w:val="0"/>
          <w:marBottom w:val="0"/>
          <w:divBdr>
            <w:top w:val="none" w:sz="0" w:space="0" w:color="auto"/>
            <w:left w:val="none" w:sz="0" w:space="0" w:color="auto"/>
            <w:bottom w:val="none" w:sz="0" w:space="0" w:color="auto"/>
            <w:right w:val="none" w:sz="0" w:space="0" w:color="auto"/>
          </w:divBdr>
        </w:div>
        <w:div w:id="482890499">
          <w:marLeft w:val="0"/>
          <w:marRight w:val="0"/>
          <w:marTop w:val="0"/>
          <w:marBottom w:val="0"/>
          <w:divBdr>
            <w:top w:val="none" w:sz="0" w:space="0" w:color="auto"/>
            <w:left w:val="none" w:sz="0" w:space="0" w:color="auto"/>
            <w:bottom w:val="none" w:sz="0" w:space="0" w:color="auto"/>
            <w:right w:val="none" w:sz="0" w:space="0" w:color="auto"/>
          </w:divBdr>
        </w:div>
        <w:div w:id="777455546">
          <w:marLeft w:val="0"/>
          <w:marRight w:val="0"/>
          <w:marTop w:val="0"/>
          <w:marBottom w:val="0"/>
          <w:divBdr>
            <w:top w:val="none" w:sz="0" w:space="0" w:color="auto"/>
            <w:left w:val="none" w:sz="0" w:space="0" w:color="auto"/>
            <w:bottom w:val="none" w:sz="0" w:space="0" w:color="auto"/>
            <w:right w:val="none" w:sz="0" w:space="0" w:color="auto"/>
          </w:divBdr>
        </w:div>
        <w:div w:id="2108498739">
          <w:marLeft w:val="0"/>
          <w:marRight w:val="0"/>
          <w:marTop w:val="0"/>
          <w:marBottom w:val="0"/>
          <w:divBdr>
            <w:top w:val="none" w:sz="0" w:space="0" w:color="auto"/>
            <w:left w:val="none" w:sz="0" w:space="0" w:color="auto"/>
            <w:bottom w:val="none" w:sz="0" w:space="0" w:color="auto"/>
            <w:right w:val="none" w:sz="0" w:space="0" w:color="auto"/>
          </w:divBdr>
        </w:div>
        <w:div w:id="2004969098">
          <w:marLeft w:val="0"/>
          <w:marRight w:val="0"/>
          <w:marTop w:val="0"/>
          <w:marBottom w:val="0"/>
          <w:divBdr>
            <w:top w:val="none" w:sz="0" w:space="0" w:color="auto"/>
            <w:left w:val="none" w:sz="0" w:space="0" w:color="auto"/>
            <w:bottom w:val="none" w:sz="0" w:space="0" w:color="auto"/>
            <w:right w:val="none" w:sz="0" w:space="0" w:color="auto"/>
          </w:divBdr>
        </w:div>
        <w:div w:id="1861237536">
          <w:marLeft w:val="0"/>
          <w:marRight w:val="0"/>
          <w:marTop w:val="0"/>
          <w:marBottom w:val="0"/>
          <w:divBdr>
            <w:top w:val="none" w:sz="0" w:space="0" w:color="auto"/>
            <w:left w:val="none" w:sz="0" w:space="0" w:color="auto"/>
            <w:bottom w:val="none" w:sz="0" w:space="0" w:color="auto"/>
            <w:right w:val="none" w:sz="0" w:space="0" w:color="auto"/>
          </w:divBdr>
        </w:div>
        <w:div w:id="1466893121">
          <w:marLeft w:val="0"/>
          <w:marRight w:val="0"/>
          <w:marTop w:val="0"/>
          <w:marBottom w:val="0"/>
          <w:divBdr>
            <w:top w:val="none" w:sz="0" w:space="0" w:color="auto"/>
            <w:left w:val="none" w:sz="0" w:space="0" w:color="auto"/>
            <w:bottom w:val="none" w:sz="0" w:space="0" w:color="auto"/>
            <w:right w:val="none" w:sz="0" w:space="0" w:color="auto"/>
          </w:divBdr>
        </w:div>
        <w:div w:id="1381594899">
          <w:marLeft w:val="0"/>
          <w:marRight w:val="0"/>
          <w:marTop w:val="0"/>
          <w:marBottom w:val="0"/>
          <w:divBdr>
            <w:top w:val="none" w:sz="0" w:space="0" w:color="auto"/>
            <w:left w:val="none" w:sz="0" w:space="0" w:color="auto"/>
            <w:bottom w:val="none" w:sz="0" w:space="0" w:color="auto"/>
            <w:right w:val="none" w:sz="0" w:space="0" w:color="auto"/>
          </w:divBdr>
        </w:div>
        <w:div w:id="1123697950">
          <w:marLeft w:val="0"/>
          <w:marRight w:val="0"/>
          <w:marTop w:val="0"/>
          <w:marBottom w:val="0"/>
          <w:divBdr>
            <w:top w:val="none" w:sz="0" w:space="0" w:color="auto"/>
            <w:left w:val="none" w:sz="0" w:space="0" w:color="auto"/>
            <w:bottom w:val="none" w:sz="0" w:space="0" w:color="auto"/>
            <w:right w:val="none" w:sz="0" w:space="0" w:color="auto"/>
          </w:divBdr>
        </w:div>
        <w:div w:id="695038276">
          <w:marLeft w:val="0"/>
          <w:marRight w:val="0"/>
          <w:marTop w:val="0"/>
          <w:marBottom w:val="0"/>
          <w:divBdr>
            <w:top w:val="none" w:sz="0" w:space="0" w:color="auto"/>
            <w:left w:val="none" w:sz="0" w:space="0" w:color="auto"/>
            <w:bottom w:val="none" w:sz="0" w:space="0" w:color="auto"/>
            <w:right w:val="none" w:sz="0" w:space="0" w:color="auto"/>
          </w:divBdr>
        </w:div>
        <w:div w:id="1896693881">
          <w:marLeft w:val="0"/>
          <w:marRight w:val="0"/>
          <w:marTop w:val="0"/>
          <w:marBottom w:val="0"/>
          <w:divBdr>
            <w:top w:val="none" w:sz="0" w:space="0" w:color="auto"/>
            <w:left w:val="none" w:sz="0" w:space="0" w:color="auto"/>
            <w:bottom w:val="none" w:sz="0" w:space="0" w:color="auto"/>
            <w:right w:val="none" w:sz="0" w:space="0" w:color="auto"/>
          </w:divBdr>
        </w:div>
        <w:div w:id="14699866">
          <w:marLeft w:val="0"/>
          <w:marRight w:val="0"/>
          <w:marTop w:val="0"/>
          <w:marBottom w:val="0"/>
          <w:divBdr>
            <w:top w:val="none" w:sz="0" w:space="0" w:color="auto"/>
            <w:left w:val="none" w:sz="0" w:space="0" w:color="auto"/>
            <w:bottom w:val="none" w:sz="0" w:space="0" w:color="auto"/>
            <w:right w:val="none" w:sz="0" w:space="0" w:color="auto"/>
          </w:divBdr>
        </w:div>
        <w:div w:id="214123308">
          <w:marLeft w:val="0"/>
          <w:marRight w:val="0"/>
          <w:marTop w:val="0"/>
          <w:marBottom w:val="0"/>
          <w:divBdr>
            <w:top w:val="none" w:sz="0" w:space="0" w:color="auto"/>
            <w:left w:val="none" w:sz="0" w:space="0" w:color="auto"/>
            <w:bottom w:val="none" w:sz="0" w:space="0" w:color="auto"/>
            <w:right w:val="none" w:sz="0" w:space="0" w:color="auto"/>
          </w:divBdr>
        </w:div>
        <w:div w:id="2029676521">
          <w:marLeft w:val="0"/>
          <w:marRight w:val="0"/>
          <w:marTop w:val="0"/>
          <w:marBottom w:val="0"/>
          <w:divBdr>
            <w:top w:val="none" w:sz="0" w:space="0" w:color="auto"/>
            <w:left w:val="none" w:sz="0" w:space="0" w:color="auto"/>
            <w:bottom w:val="none" w:sz="0" w:space="0" w:color="auto"/>
            <w:right w:val="none" w:sz="0" w:space="0" w:color="auto"/>
          </w:divBdr>
        </w:div>
        <w:div w:id="141047575">
          <w:marLeft w:val="0"/>
          <w:marRight w:val="0"/>
          <w:marTop w:val="0"/>
          <w:marBottom w:val="0"/>
          <w:divBdr>
            <w:top w:val="none" w:sz="0" w:space="0" w:color="auto"/>
            <w:left w:val="none" w:sz="0" w:space="0" w:color="auto"/>
            <w:bottom w:val="none" w:sz="0" w:space="0" w:color="auto"/>
            <w:right w:val="none" w:sz="0" w:space="0" w:color="auto"/>
          </w:divBdr>
        </w:div>
        <w:div w:id="1940946881">
          <w:marLeft w:val="0"/>
          <w:marRight w:val="0"/>
          <w:marTop w:val="0"/>
          <w:marBottom w:val="0"/>
          <w:divBdr>
            <w:top w:val="none" w:sz="0" w:space="0" w:color="auto"/>
            <w:left w:val="none" w:sz="0" w:space="0" w:color="auto"/>
            <w:bottom w:val="none" w:sz="0" w:space="0" w:color="auto"/>
            <w:right w:val="none" w:sz="0" w:space="0" w:color="auto"/>
          </w:divBdr>
        </w:div>
        <w:div w:id="876701364">
          <w:marLeft w:val="0"/>
          <w:marRight w:val="0"/>
          <w:marTop w:val="0"/>
          <w:marBottom w:val="0"/>
          <w:divBdr>
            <w:top w:val="none" w:sz="0" w:space="0" w:color="auto"/>
            <w:left w:val="none" w:sz="0" w:space="0" w:color="auto"/>
            <w:bottom w:val="none" w:sz="0" w:space="0" w:color="auto"/>
            <w:right w:val="none" w:sz="0" w:space="0" w:color="auto"/>
          </w:divBdr>
        </w:div>
        <w:div w:id="562328297">
          <w:marLeft w:val="0"/>
          <w:marRight w:val="0"/>
          <w:marTop w:val="0"/>
          <w:marBottom w:val="0"/>
          <w:divBdr>
            <w:top w:val="none" w:sz="0" w:space="0" w:color="auto"/>
            <w:left w:val="none" w:sz="0" w:space="0" w:color="auto"/>
            <w:bottom w:val="none" w:sz="0" w:space="0" w:color="auto"/>
            <w:right w:val="none" w:sz="0" w:space="0" w:color="auto"/>
          </w:divBdr>
        </w:div>
        <w:div w:id="14816967">
          <w:marLeft w:val="0"/>
          <w:marRight w:val="0"/>
          <w:marTop w:val="0"/>
          <w:marBottom w:val="0"/>
          <w:divBdr>
            <w:top w:val="none" w:sz="0" w:space="0" w:color="auto"/>
            <w:left w:val="none" w:sz="0" w:space="0" w:color="auto"/>
            <w:bottom w:val="none" w:sz="0" w:space="0" w:color="auto"/>
            <w:right w:val="none" w:sz="0" w:space="0" w:color="auto"/>
          </w:divBdr>
        </w:div>
        <w:div w:id="1334725606">
          <w:marLeft w:val="0"/>
          <w:marRight w:val="0"/>
          <w:marTop w:val="0"/>
          <w:marBottom w:val="0"/>
          <w:divBdr>
            <w:top w:val="none" w:sz="0" w:space="0" w:color="auto"/>
            <w:left w:val="none" w:sz="0" w:space="0" w:color="auto"/>
            <w:bottom w:val="none" w:sz="0" w:space="0" w:color="auto"/>
            <w:right w:val="none" w:sz="0" w:space="0" w:color="auto"/>
          </w:divBdr>
        </w:div>
        <w:div w:id="1415515012">
          <w:marLeft w:val="0"/>
          <w:marRight w:val="0"/>
          <w:marTop w:val="0"/>
          <w:marBottom w:val="0"/>
          <w:divBdr>
            <w:top w:val="none" w:sz="0" w:space="0" w:color="auto"/>
            <w:left w:val="none" w:sz="0" w:space="0" w:color="auto"/>
            <w:bottom w:val="none" w:sz="0" w:space="0" w:color="auto"/>
            <w:right w:val="none" w:sz="0" w:space="0" w:color="auto"/>
          </w:divBdr>
        </w:div>
        <w:div w:id="1532065660">
          <w:marLeft w:val="0"/>
          <w:marRight w:val="0"/>
          <w:marTop w:val="0"/>
          <w:marBottom w:val="0"/>
          <w:divBdr>
            <w:top w:val="none" w:sz="0" w:space="0" w:color="auto"/>
            <w:left w:val="none" w:sz="0" w:space="0" w:color="auto"/>
            <w:bottom w:val="none" w:sz="0" w:space="0" w:color="auto"/>
            <w:right w:val="none" w:sz="0" w:space="0" w:color="auto"/>
          </w:divBdr>
        </w:div>
        <w:div w:id="133178716">
          <w:marLeft w:val="0"/>
          <w:marRight w:val="0"/>
          <w:marTop w:val="0"/>
          <w:marBottom w:val="0"/>
          <w:divBdr>
            <w:top w:val="none" w:sz="0" w:space="0" w:color="auto"/>
            <w:left w:val="none" w:sz="0" w:space="0" w:color="auto"/>
            <w:bottom w:val="none" w:sz="0" w:space="0" w:color="auto"/>
            <w:right w:val="none" w:sz="0" w:space="0" w:color="auto"/>
          </w:divBdr>
        </w:div>
        <w:div w:id="1497723193">
          <w:marLeft w:val="0"/>
          <w:marRight w:val="0"/>
          <w:marTop w:val="0"/>
          <w:marBottom w:val="0"/>
          <w:divBdr>
            <w:top w:val="none" w:sz="0" w:space="0" w:color="auto"/>
            <w:left w:val="none" w:sz="0" w:space="0" w:color="auto"/>
            <w:bottom w:val="none" w:sz="0" w:space="0" w:color="auto"/>
            <w:right w:val="none" w:sz="0" w:space="0" w:color="auto"/>
          </w:divBdr>
        </w:div>
        <w:div w:id="1286615440">
          <w:marLeft w:val="0"/>
          <w:marRight w:val="0"/>
          <w:marTop w:val="0"/>
          <w:marBottom w:val="0"/>
          <w:divBdr>
            <w:top w:val="none" w:sz="0" w:space="0" w:color="auto"/>
            <w:left w:val="none" w:sz="0" w:space="0" w:color="auto"/>
            <w:bottom w:val="none" w:sz="0" w:space="0" w:color="auto"/>
            <w:right w:val="none" w:sz="0" w:space="0" w:color="auto"/>
          </w:divBdr>
        </w:div>
        <w:div w:id="1851724407">
          <w:marLeft w:val="0"/>
          <w:marRight w:val="0"/>
          <w:marTop w:val="0"/>
          <w:marBottom w:val="0"/>
          <w:divBdr>
            <w:top w:val="none" w:sz="0" w:space="0" w:color="auto"/>
            <w:left w:val="none" w:sz="0" w:space="0" w:color="auto"/>
            <w:bottom w:val="none" w:sz="0" w:space="0" w:color="auto"/>
            <w:right w:val="none" w:sz="0" w:space="0" w:color="auto"/>
          </w:divBdr>
        </w:div>
        <w:div w:id="1506481429">
          <w:marLeft w:val="0"/>
          <w:marRight w:val="0"/>
          <w:marTop w:val="0"/>
          <w:marBottom w:val="0"/>
          <w:divBdr>
            <w:top w:val="none" w:sz="0" w:space="0" w:color="auto"/>
            <w:left w:val="none" w:sz="0" w:space="0" w:color="auto"/>
            <w:bottom w:val="none" w:sz="0" w:space="0" w:color="auto"/>
            <w:right w:val="none" w:sz="0" w:space="0" w:color="auto"/>
          </w:divBdr>
        </w:div>
        <w:div w:id="1567034223">
          <w:marLeft w:val="0"/>
          <w:marRight w:val="0"/>
          <w:marTop w:val="0"/>
          <w:marBottom w:val="0"/>
          <w:divBdr>
            <w:top w:val="none" w:sz="0" w:space="0" w:color="auto"/>
            <w:left w:val="none" w:sz="0" w:space="0" w:color="auto"/>
            <w:bottom w:val="none" w:sz="0" w:space="0" w:color="auto"/>
            <w:right w:val="none" w:sz="0" w:space="0" w:color="auto"/>
          </w:divBdr>
        </w:div>
        <w:div w:id="729621008">
          <w:marLeft w:val="0"/>
          <w:marRight w:val="0"/>
          <w:marTop w:val="0"/>
          <w:marBottom w:val="0"/>
          <w:divBdr>
            <w:top w:val="none" w:sz="0" w:space="0" w:color="auto"/>
            <w:left w:val="none" w:sz="0" w:space="0" w:color="auto"/>
            <w:bottom w:val="none" w:sz="0" w:space="0" w:color="auto"/>
            <w:right w:val="none" w:sz="0" w:space="0" w:color="auto"/>
          </w:divBdr>
        </w:div>
        <w:div w:id="1095787525">
          <w:marLeft w:val="0"/>
          <w:marRight w:val="0"/>
          <w:marTop w:val="0"/>
          <w:marBottom w:val="0"/>
          <w:divBdr>
            <w:top w:val="none" w:sz="0" w:space="0" w:color="auto"/>
            <w:left w:val="none" w:sz="0" w:space="0" w:color="auto"/>
            <w:bottom w:val="none" w:sz="0" w:space="0" w:color="auto"/>
            <w:right w:val="none" w:sz="0" w:space="0" w:color="auto"/>
          </w:divBdr>
        </w:div>
        <w:div w:id="939338041">
          <w:marLeft w:val="0"/>
          <w:marRight w:val="0"/>
          <w:marTop w:val="0"/>
          <w:marBottom w:val="0"/>
          <w:divBdr>
            <w:top w:val="none" w:sz="0" w:space="0" w:color="auto"/>
            <w:left w:val="none" w:sz="0" w:space="0" w:color="auto"/>
            <w:bottom w:val="none" w:sz="0" w:space="0" w:color="auto"/>
            <w:right w:val="none" w:sz="0" w:space="0" w:color="auto"/>
          </w:divBdr>
        </w:div>
        <w:div w:id="378286440">
          <w:marLeft w:val="0"/>
          <w:marRight w:val="0"/>
          <w:marTop w:val="0"/>
          <w:marBottom w:val="0"/>
          <w:divBdr>
            <w:top w:val="none" w:sz="0" w:space="0" w:color="auto"/>
            <w:left w:val="none" w:sz="0" w:space="0" w:color="auto"/>
            <w:bottom w:val="none" w:sz="0" w:space="0" w:color="auto"/>
            <w:right w:val="none" w:sz="0" w:space="0" w:color="auto"/>
          </w:divBdr>
        </w:div>
        <w:div w:id="1938557779">
          <w:marLeft w:val="0"/>
          <w:marRight w:val="0"/>
          <w:marTop w:val="0"/>
          <w:marBottom w:val="0"/>
          <w:divBdr>
            <w:top w:val="none" w:sz="0" w:space="0" w:color="auto"/>
            <w:left w:val="none" w:sz="0" w:space="0" w:color="auto"/>
            <w:bottom w:val="none" w:sz="0" w:space="0" w:color="auto"/>
            <w:right w:val="none" w:sz="0" w:space="0" w:color="auto"/>
          </w:divBdr>
        </w:div>
        <w:div w:id="1881240102">
          <w:marLeft w:val="0"/>
          <w:marRight w:val="0"/>
          <w:marTop w:val="0"/>
          <w:marBottom w:val="0"/>
          <w:divBdr>
            <w:top w:val="none" w:sz="0" w:space="0" w:color="auto"/>
            <w:left w:val="none" w:sz="0" w:space="0" w:color="auto"/>
            <w:bottom w:val="none" w:sz="0" w:space="0" w:color="auto"/>
            <w:right w:val="none" w:sz="0" w:space="0" w:color="auto"/>
          </w:divBdr>
        </w:div>
        <w:div w:id="1076129200">
          <w:marLeft w:val="0"/>
          <w:marRight w:val="0"/>
          <w:marTop w:val="0"/>
          <w:marBottom w:val="0"/>
          <w:divBdr>
            <w:top w:val="none" w:sz="0" w:space="0" w:color="auto"/>
            <w:left w:val="none" w:sz="0" w:space="0" w:color="auto"/>
            <w:bottom w:val="none" w:sz="0" w:space="0" w:color="auto"/>
            <w:right w:val="none" w:sz="0" w:space="0" w:color="auto"/>
          </w:divBdr>
        </w:div>
        <w:div w:id="735973908">
          <w:marLeft w:val="0"/>
          <w:marRight w:val="0"/>
          <w:marTop w:val="0"/>
          <w:marBottom w:val="0"/>
          <w:divBdr>
            <w:top w:val="none" w:sz="0" w:space="0" w:color="auto"/>
            <w:left w:val="none" w:sz="0" w:space="0" w:color="auto"/>
            <w:bottom w:val="none" w:sz="0" w:space="0" w:color="auto"/>
            <w:right w:val="none" w:sz="0" w:space="0" w:color="auto"/>
          </w:divBdr>
        </w:div>
        <w:div w:id="356123968">
          <w:marLeft w:val="0"/>
          <w:marRight w:val="0"/>
          <w:marTop w:val="0"/>
          <w:marBottom w:val="0"/>
          <w:divBdr>
            <w:top w:val="none" w:sz="0" w:space="0" w:color="auto"/>
            <w:left w:val="none" w:sz="0" w:space="0" w:color="auto"/>
            <w:bottom w:val="none" w:sz="0" w:space="0" w:color="auto"/>
            <w:right w:val="none" w:sz="0" w:space="0" w:color="auto"/>
          </w:divBdr>
        </w:div>
        <w:div w:id="1991862808">
          <w:marLeft w:val="0"/>
          <w:marRight w:val="0"/>
          <w:marTop w:val="0"/>
          <w:marBottom w:val="0"/>
          <w:divBdr>
            <w:top w:val="none" w:sz="0" w:space="0" w:color="auto"/>
            <w:left w:val="none" w:sz="0" w:space="0" w:color="auto"/>
            <w:bottom w:val="none" w:sz="0" w:space="0" w:color="auto"/>
            <w:right w:val="none" w:sz="0" w:space="0" w:color="auto"/>
          </w:divBdr>
        </w:div>
        <w:div w:id="1018317403">
          <w:marLeft w:val="0"/>
          <w:marRight w:val="0"/>
          <w:marTop w:val="0"/>
          <w:marBottom w:val="0"/>
          <w:divBdr>
            <w:top w:val="none" w:sz="0" w:space="0" w:color="auto"/>
            <w:left w:val="none" w:sz="0" w:space="0" w:color="auto"/>
            <w:bottom w:val="none" w:sz="0" w:space="0" w:color="auto"/>
            <w:right w:val="none" w:sz="0" w:space="0" w:color="auto"/>
          </w:divBdr>
        </w:div>
      </w:divsChild>
    </w:div>
    <w:div w:id="538317805">
      <w:bodyDiv w:val="1"/>
      <w:marLeft w:val="0"/>
      <w:marRight w:val="0"/>
      <w:marTop w:val="0"/>
      <w:marBottom w:val="0"/>
      <w:divBdr>
        <w:top w:val="none" w:sz="0" w:space="0" w:color="auto"/>
        <w:left w:val="none" w:sz="0" w:space="0" w:color="auto"/>
        <w:bottom w:val="none" w:sz="0" w:space="0" w:color="auto"/>
        <w:right w:val="none" w:sz="0" w:space="0" w:color="auto"/>
      </w:divBdr>
      <w:divsChild>
        <w:div w:id="1398045807">
          <w:marLeft w:val="0"/>
          <w:marRight w:val="0"/>
          <w:marTop w:val="0"/>
          <w:marBottom w:val="0"/>
          <w:divBdr>
            <w:top w:val="none" w:sz="0" w:space="0" w:color="auto"/>
            <w:left w:val="none" w:sz="0" w:space="0" w:color="auto"/>
            <w:bottom w:val="none" w:sz="0" w:space="0" w:color="auto"/>
            <w:right w:val="none" w:sz="0" w:space="0" w:color="auto"/>
          </w:divBdr>
        </w:div>
        <w:div w:id="1213342401">
          <w:marLeft w:val="0"/>
          <w:marRight w:val="0"/>
          <w:marTop w:val="0"/>
          <w:marBottom w:val="0"/>
          <w:divBdr>
            <w:top w:val="none" w:sz="0" w:space="0" w:color="auto"/>
            <w:left w:val="none" w:sz="0" w:space="0" w:color="auto"/>
            <w:bottom w:val="none" w:sz="0" w:space="0" w:color="auto"/>
            <w:right w:val="none" w:sz="0" w:space="0" w:color="auto"/>
          </w:divBdr>
        </w:div>
        <w:div w:id="1804302154">
          <w:marLeft w:val="0"/>
          <w:marRight w:val="0"/>
          <w:marTop w:val="0"/>
          <w:marBottom w:val="0"/>
          <w:divBdr>
            <w:top w:val="none" w:sz="0" w:space="0" w:color="auto"/>
            <w:left w:val="none" w:sz="0" w:space="0" w:color="auto"/>
            <w:bottom w:val="none" w:sz="0" w:space="0" w:color="auto"/>
            <w:right w:val="none" w:sz="0" w:space="0" w:color="auto"/>
          </w:divBdr>
        </w:div>
        <w:div w:id="1946769431">
          <w:marLeft w:val="0"/>
          <w:marRight w:val="0"/>
          <w:marTop w:val="0"/>
          <w:marBottom w:val="0"/>
          <w:divBdr>
            <w:top w:val="none" w:sz="0" w:space="0" w:color="auto"/>
            <w:left w:val="none" w:sz="0" w:space="0" w:color="auto"/>
            <w:bottom w:val="none" w:sz="0" w:space="0" w:color="auto"/>
            <w:right w:val="none" w:sz="0" w:space="0" w:color="auto"/>
          </w:divBdr>
        </w:div>
        <w:div w:id="16468240">
          <w:marLeft w:val="0"/>
          <w:marRight w:val="0"/>
          <w:marTop w:val="0"/>
          <w:marBottom w:val="0"/>
          <w:divBdr>
            <w:top w:val="none" w:sz="0" w:space="0" w:color="auto"/>
            <w:left w:val="none" w:sz="0" w:space="0" w:color="auto"/>
            <w:bottom w:val="none" w:sz="0" w:space="0" w:color="auto"/>
            <w:right w:val="none" w:sz="0" w:space="0" w:color="auto"/>
          </w:divBdr>
        </w:div>
        <w:div w:id="361175899">
          <w:marLeft w:val="0"/>
          <w:marRight w:val="0"/>
          <w:marTop w:val="0"/>
          <w:marBottom w:val="0"/>
          <w:divBdr>
            <w:top w:val="none" w:sz="0" w:space="0" w:color="auto"/>
            <w:left w:val="none" w:sz="0" w:space="0" w:color="auto"/>
            <w:bottom w:val="none" w:sz="0" w:space="0" w:color="auto"/>
            <w:right w:val="none" w:sz="0" w:space="0" w:color="auto"/>
          </w:divBdr>
        </w:div>
        <w:div w:id="2068140314">
          <w:marLeft w:val="0"/>
          <w:marRight w:val="0"/>
          <w:marTop w:val="0"/>
          <w:marBottom w:val="0"/>
          <w:divBdr>
            <w:top w:val="none" w:sz="0" w:space="0" w:color="auto"/>
            <w:left w:val="none" w:sz="0" w:space="0" w:color="auto"/>
            <w:bottom w:val="none" w:sz="0" w:space="0" w:color="auto"/>
            <w:right w:val="none" w:sz="0" w:space="0" w:color="auto"/>
          </w:divBdr>
        </w:div>
        <w:div w:id="1804543071">
          <w:marLeft w:val="0"/>
          <w:marRight w:val="0"/>
          <w:marTop w:val="0"/>
          <w:marBottom w:val="0"/>
          <w:divBdr>
            <w:top w:val="none" w:sz="0" w:space="0" w:color="auto"/>
            <w:left w:val="none" w:sz="0" w:space="0" w:color="auto"/>
            <w:bottom w:val="none" w:sz="0" w:space="0" w:color="auto"/>
            <w:right w:val="none" w:sz="0" w:space="0" w:color="auto"/>
          </w:divBdr>
        </w:div>
        <w:div w:id="1476606541">
          <w:marLeft w:val="0"/>
          <w:marRight w:val="0"/>
          <w:marTop w:val="0"/>
          <w:marBottom w:val="0"/>
          <w:divBdr>
            <w:top w:val="none" w:sz="0" w:space="0" w:color="auto"/>
            <w:left w:val="none" w:sz="0" w:space="0" w:color="auto"/>
            <w:bottom w:val="none" w:sz="0" w:space="0" w:color="auto"/>
            <w:right w:val="none" w:sz="0" w:space="0" w:color="auto"/>
          </w:divBdr>
        </w:div>
        <w:div w:id="1002050128">
          <w:marLeft w:val="0"/>
          <w:marRight w:val="0"/>
          <w:marTop w:val="0"/>
          <w:marBottom w:val="0"/>
          <w:divBdr>
            <w:top w:val="none" w:sz="0" w:space="0" w:color="auto"/>
            <w:left w:val="none" w:sz="0" w:space="0" w:color="auto"/>
            <w:bottom w:val="none" w:sz="0" w:space="0" w:color="auto"/>
            <w:right w:val="none" w:sz="0" w:space="0" w:color="auto"/>
          </w:divBdr>
        </w:div>
        <w:div w:id="368771857">
          <w:marLeft w:val="0"/>
          <w:marRight w:val="0"/>
          <w:marTop w:val="0"/>
          <w:marBottom w:val="0"/>
          <w:divBdr>
            <w:top w:val="none" w:sz="0" w:space="0" w:color="auto"/>
            <w:left w:val="none" w:sz="0" w:space="0" w:color="auto"/>
            <w:bottom w:val="none" w:sz="0" w:space="0" w:color="auto"/>
            <w:right w:val="none" w:sz="0" w:space="0" w:color="auto"/>
          </w:divBdr>
        </w:div>
        <w:div w:id="672152262">
          <w:marLeft w:val="0"/>
          <w:marRight w:val="0"/>
          <w:marTop w:val="0"/>
          <w:marBottom w:val="0"/>
          <w:divBdr>
            <w:top w:val="none" w:sz="0" w:space="0" w:color="auto"/>
            <w:left w:val="none" w:sz="0" w:space="0" w:color="auto"/>
            <w:bottom w:val="none" w:sz="0" w:space="0" w:color="auto"/>
            <w:right w:val="none" w:sz="0" w:space="0" w:color="auto"/>
          </w:divBdr>
        </w:div>
        <w:div w:id="1598831424">
          <w:marLeft w:val="0"/>
          <w:marRight w:val="0"/>
          <w:marTop w:val="0"/>
          <w:marBottom w:val="0"/>
          <w:divBdr>
            <w:top w:val="none" w:sz="0" w:space="0" w:color="auto"/>
            <w:left w:val="none" w:sz="0" w:space="0" w:color="auto"/>
            <w:bottom w:val="none" w:sz="0" w:space="0" w:color="auto"/>
            <w:right w:val="none" w:sz="0" w:space="0" w:color="auto"/>
          </w:divBdr>
        </w:div>
        <w:div w:id="534536853">
          <w:marLeft w:val="0"/>
          <w:marRight w:val="0"/>
          <w:marTop w:val="0"/>
          <w:marBottom w:val="0"/>
          <w:divBdr>
            <w:top w:val="none" w:sz="0" w:space="0" w:color="auto"/>
            <w:left w:val="none" w:sz="0" w:space="0" w:color="auto"/>
            <w:bottom w:val="none" w:sz="0" w:space="0" w:color="auto"/>
            <w:right w:val="none" w:sz="0" w:space="0" w:color="auto"/>
          </w:divBdr>
        </w:div>
        <w:div w:id="516162039">
          <w:marLeft w:val="0"/>
          <w:marRight w:val="0"/>
          <w:marTop w:val="0"/>
          <w:marBottom w:val="0"/>
          <w:divBdr>
            <w:top w:val="none" w:sz="0" w:space="0" w:color="auto"/>
            <w:left w:val="none" w:sz="0" w:space="0" w:color="auto"/>
            <w:bottom w:val="none" w:sz="0" w:space="0" w:color="auto"/>
            <w:right w:val="none" w:sz="0" w:space="0" w:color="auto"/>
          </w:divBdr>
        </w:div>
        <w:div w:id="1832793428">
          <w:marLeft w:val="0"/>
          <w:marRight w:val="0"/>
          <w:marTop w:val="0"/>
          <w:marBottom w:val="0"/>
          <w:divBdr>
            <w:top w:val="none" w:sz="0" w:space="0" w:color="auto"/>
            <w:left w:val="none" w:sz="0" w:space="0" w:color="auto"/>
            <w:bottom w:val="none" w:sz="0" w:space="0" w:color="auto"/>
            <w:right w:val="none" w:sz="0" w:space="0" w:color="auto"/>
          </w:divBdr>
        </w:div>
        <w:div w:id="1554586162">
          <w:marLeft w:val="0"/>
          <w:marRight w:val="0"/>
          <w:marTop w:val="0"/>
          <w:marBottom w:val="0"/>
          <w:divBdr>
            <w:top w:val="none" w:sz="0" w:space="0" w:color="auto"/>
            <w:left w:val="none" w:sz="0" w:space="0" w:color="auto"/>
            <w:bottom w:val="none" w:sz="0" w:space="0" w:color="auto"/>
            <w:right w:val="none" w:sz="0" w:space="0" w:color="auto"/>
          </w:divBdr>
        </w:div>
        <w:div w:id="2095198425">
          <w:marLeft w:val="0"/>
          <w:marRight w:val="0"/>
          <w:marTop w:val="0"/>
          <w:marBottom w:val="0"/>
          <w:divBdr>
            <w:top w:val="none" w:sz="0" w:space="0" w:color="auto"/>
            <w:left w:val="none" w:sz="0" w:space="0" w:color="auto"/>
            <w:bottom w:val="none" w:sz="0" w:space="0" w:color="auto"/>
            <w:right w:val="none" w:sz="0" w:space="0" w:color="auto"/>
          </w:divBdr>
        </w:div>
        <w:div w:id="2139639556">
          <w:marLeft w:val="0"/>
          <w:marRight w:val="0"/>
          <w:marTop w:val="0"/>
          <w:marBottom w:val="0"/>
          <w:divBdr>
            <w:top w:val="none" w:sz="0" w:space="0" w:color="auto"/>
            <w:left w:val="none" w:sz="0" w:space="0" w:color="auto"/>
            <w:bottom w:val="none" w:sz="0" w:space="0" w:color="auto"/>
            <w:right w:val="none" w:sz="0" w:space="0" w:color="auto"/>
          </w:divBdr>
        </w:div>
        <w:div w:id="2051491470">
          <w:marLeft w:val="0"/>
          <w:marRight w:val="0"/>
          <w:marTop w:val="0"/>
          <w:marBottom w:val="0"/>
          <w:divBdr>
            <w:top w:val="none" w:sz="0" w:space="0" w:color="auto"/>
            <w:left w:val="none" w:sz="0" w:space="0" w:color="auto"/>
            <w:bottom w:val="none" w:sz="0" w:space="0" w:color="auto"/>
            <w:right w:val="none" w:sz="0" w:space="0" w:color="auto"/>
          </w:divBdr>
        </w:div>
        <w:div w:id="1232423457">
          <w:marLeft w:val="0"/>
          <w:marRight w:val="0"/>
          <w:marTop w:val="0"/>
          <w:marBottom w:val="0"/>
          <w:divBdr>
            <w:top w:val="none" w:sz="0" w:space="0" w:color="auto"/>
            <w:left w:val="none" w:sz="0" w:space="0" w:color="auto"/>
            <w:bottom w:val="none" w:sz="0" w:space="0" w:color="auto"/>
            <w:right w:val="none" w:sz="0" w:space="0" w:color="auto"/>
          </w:divBdr>
        </w:div>
        <w:div w:id="1851069569">
          <w:marLeft w:val="0"/>
          <w:marRight w:val="0"/>
          <w:marTop w:val="0"/>
          <w:marBottom w:val="0"/>
          <w:divBdr>
            <w:top w:val="none" w:sz="0" w:space="0" w:color="auto"/>
            <w:left w:val="none" w:sz="0" w:space="0" w:color="auto"/>
            <w:bottom w:val="none" w:sz="0" w:space="0" w:color="auto"/>
            <w:right w:val="none" w:sz="0" w:space="0" w:color="auto"/>
          </w:divBdr>
        </w:div>
        <w:div w:id="930698639">
          <w:marLeft w:val="0"/>
          <w:marRight w:val="0"/>
          <w:marTop w:val="0"/>
          <w:marBottom w:val="0"/>
          <w:divBdr>
            <w:top w:val="none" w:sz="0" w:space="0" w:color="auto"/>
            <w:left w:val="none" w:sz="0" w:space="0" w:color="auto"/>
            <w:bottom w:val="none" w:sz="0" w:space="0" w:color="auto"/>
            <w:right w:val="none" w:sz="0" w:space="0" w:color="auto"/>
          </w:divBdr>
        </w:div>
        <w:div w:id="1715037140">
          <w:marLeft w:val="0"/>
          <w:marRight w:val="0"/>
          <w:marTop w:val="0"/>
          <w:marBottom w:val="0"/>
          <w:divBdr>
            <w:top w:val="none" w:sz="0" w:space="0" w:color="auto"/>
            <w:left w:val="none" w:sz="0" w:space="0" w:color="auto"/>
            <w:bottom w:val="none" w:sz="0" w:space="0" w:color="auto"/>
            <w:right w:val="none" w:sz="0" w:space="0" w:color="auto"/>
          </w:divBdr>
        </w:div>
        <w:div w:id="1613591079">
          <w:marLeft w:val="0"/>
          <w:marRight w:val="0"/>
          <w:marTop w:val="0"/>
          <w:marBottom w:val="0"/>
          <w:divBdr>
            <w:top w:val="none" w:sz="0" w:space="0" w:color="auto"/>
            <w:left w:val="none" w:sz="0" w:space="0" w:color="auto"/>
            <w:bottom w:val="none" w:sz="0" w:space="0" w:color="auto"/>
            <w:right w:val="none" w:sz="0" w:space="0" w:color="auto"/>
          </w:divBdr>
        </w:div>
        <w:div w:id="1910312004">
          <w:marLeft w:val="0"/>
          <w:marRight w:val="0"/>
          <w:marTop w:val="0"/>
          <w:marBottom w:val="0"/>
          <w:divBdr>
            <w:top w:val="none" w:sz="0" w:space="0" w:color="auto"/>
            <w:left w:val="none" w:sz="0" w:space="0" w:color="auto"/>
            <w:bottom w:val="none" w:sz="0" w:space="0" w:color="auto"/>
            <w:right w:val="none" w:sz="0" w:space="0" w:color="auto"/>
          </w:divBdr>
        </w:div>
        <w:div w:id="558636449">
          <w:marLeft w:val="0"/>
          <w:marRight w:val="0"/>
          <w:marTop w:val="0"/>
          <w:marBottom w:val="0"/>
          <w:divBdr>
            <w:top w:val="none" w:sz="0" w:space="0" w:color="auto"/>
            <w:left w:val="none" w:sz="0" w:space="0" w:color="auto"/>
            <w:bottom w:val="none" w:sz="0" w:space="0" w:color="auto"/>
            <w:right w:val="none" w:sz="0" w:space="0" w:color="auto"/>
          </w:divBdr>
        </w:div>
        <w:div w:id="766854177">
          <w:marLeft w:val="0"/>
          <w:marRight w:val="0"/>
          <w:marTop w:val="0"/>
          <w:marBottom w:val="0"/>
          <w:divBdr>
            <w:top w:val="none" w:sz="0" w:space="0" w:color="auto"/>
            <w:left w:val="none" w:sz="0" w:space="0" w:color="auto"/>
            <w:bottom w:val="none" w:sz="0" w:space="0" w:color="auto"/>
            <w:right w:val="none" w:sz="0" w:space="0" w:color="auto"/>
          </w:divBdr>
        </w:div>
        <w:div w:id="1014769764">
          <w:marLeft w:val="0"/>
          <w:marRight w:val="0"/>
          <w:marTop w:val="0"/>
          <w:marBottom w:val="0"/>
          <w:divBdr>
            <w:top w:val="none" w:sz="0" w:space="0" w:color="auto"/>
            <w:left w:val="none" w:sz="0" w:space="0" w:color="auto"/>
            <w:bottom w:val="none" w:sz="0" w:space="0" w:color="auto"/>
            <w:right w:val="none" w:sz="0" w:space="0" w:color="auto"/>
          </w:divBdr>
        </w:div>
        <w:div w:id="449596064">
          <w:marLeft w:val="0"/>
          <w:marRight w:val="0"/>
          <w:marTop w:val="0"/>
          <w:marBottom w:val="0"/>
          <w:divBdr>
            <w:top w:val="none" w:sz="0" w:space="0" w:color="auto"/>
            <w:left w:val="none" w:sz="0" w:space="0" w:color="auto"/>
            <w:bottom w:val="none" w:sz="0" w:space="0" w:color="auto"/>
            <w:right w:val="none" w:sz="0" w:space="0" w:color="auto"/>
          </w:divBdr>
        </w:div>
        <w:div w:id="1838418159">
          <w:marLeft w:val="0"/>
          <w:marRight w:val="0"/>
          <w:marTop w:val="0"/>
          <w:marBottom w:val="0"/>
          <w:divBdr>
            <w:top w:val="none" w:sz="0" w:space="0" w:color="auto"/>
            <w:left w:val="none" w:sz="0" w:space="0" w:color="auto"/>
            <w:bottom w:val="none" w:sz="0" w:space="0" w:color="auto"/>
            <w:right w:val="none" w:sz="0" w:space="0" w:color="auto"/>
          </w:divBdr>
        </w:div>
        <w:div w:id="1325671544">
          <w:marLeft w:val="0"/>
          <w:marRight w:val="0"/>
          <w:marTop w:val="0"/>
          <w:marBottom w:val="0"/>
          <w:divBdr>
            <w:top w:val="none" w:sz="0" w:space="0" w:color="auto"/>
            <w:left w:val="none" w:sz="0" w:space="0" w:color="auto"/>
            <w:bottom w:val="none" w:sz="0" w:space="0" w:color="auto"/>
            <w:right w:val="none" w:sz="0" w:space="0" w:color="auto"/>
          </w:divBdr>
        </w:div>
        <w:div w:id="720710564">
          <w:marLeft w:val="0"/>
          <w:marRight w:val="0"/>
          <w:marTop w:val="0"/>
          <w:marBottom w:val="0"/>
          <w:divBdr>
            <w:top w:val="none" w:sz="0" w:space="0" w:color="auto"/>
            <w:left w:val="none" w:sz="0" w:space="0" w:color="auto"/>
            <w:bottom w:val="none" w:sz="0" w:space="0" w:color="auto"/>
            <w:right w:val="none" w:sz="0" w:space="0" w:color="auto"/>
          </w:divBdr>
        </w:div>
        <w:div w:id="1445268628">
          <w:marLeft w:val="0"/>
          <w:marRight w:val="0"/>
          <w:marTop w:val="0"/>
          <w:marBottom w:val="0"/>
          <w:divBdr>
            <w:top w:val="none" w:sz="0" w:space="0" w:color="auto"/>
            <w:left w:val="none" w:sz="0" w:space="0" w:color="auto"/>
            <w:bottom w:val="none" w:sz="0" w:space="0" w:color="auto"/>
            <w:right w:val="none" w:sz="0" w:space="0" w:color="auto"/>
          </w:divBdr>
        </w:div>
        <w:div w:id="385757399">
          <w:marLeft w:val="0"/>
          <w:marRight w:val="0"/>
          <w:marTop w:val="0"/>
          <w:marBottom w:val="0"/>
          <w:divBdr>
            <w:top w:val="none" w:sz="0" w:space="0" w:color="auto"/>
            <w:left w:val="none" w:sz="0" w:space="0" w:color="auto"/>
            <w:bottom w:val="none" w:sz="0" w:space="0" w:color="auto"/>
            <w:right w:val="none" w:sz="0" w:space="0" w:color="auto"/>
          </w:divBdr>
        </w:div>
        <w:div w:id="1012222340">
          <w:marLeft w:val="0"/>
          <w:marRight w:val="0"/>
          <w:marTop w:val="0"/>
          <w:marBottom w:val="0"/>
          <w:divBdr>
            <w:top w:val="none" w:sz="0" w:space="0" w:color="auto"/>
            <w:left w:val="none" w:sz="0" w:space="0" w:color="auto"/>
            <w:bottom w:val="none" w:sz="0" w:space="0" w:color="auto"/>
            <w:right w:val="none" w:sz="0" w:space="0" w:color="auto"/>
          </w:divBdr>
        </w:div>
        <w:div w:id="1896503736">
          <w:marLeft w:val="0"/>
          <w:marRight w:val="0"/>
          <w:marTop w:val="0"/>
          <w:marBottom w:val="0"/>
          <w:divBdr>
            <w:top w:val="none" w:sz="0" w:space="0" w:color="auto"/>
            <w:left w:val="none" w:sz="0" w:space="0" w:color="auto"/>
            <w:bottom w:val="none" w:sz="0" w:space="0" w:color="auto"/>
            <w:right w:val="none" w:sz="0" w:space="0" w:color="auto"/>
          </w:divBdr>
        </w:div>
        <w:div w:id="2121685327">
          <w:marLeft w:val="0"/>
          <w:marRight w:val="0"/>
          <w:marTop w:val="0"/>
          <w:marBottom w:val="0"/>
          <w:divBdr>
            <w:top w:val="none" w:sz="0" w:space="0" w:color="auto"/>
            <w:left w:val="none" w:sz="0" w:space="0" w:color="auto"/>
            <w:bottom w:val="none" w:sz="0" w:space="0" w:color="auto"/>
            <w:right w:val="none" w:sz="0" w:space="0" w:color="auto"/>
          </w:divBdr>
        </w:div>
        <w:div w:id="1068307305">
          <w:marLeft w:val="0"/>
          <w:marRight w:val="0"/>
          <w:marTop w:val="0"/>
          <w:marBottom w:val="0"/>
          <w:divBdr>
            <w:top w:val="none" w:sz="0" w:space="0" w:color="auto"/>
            <w:left w:val="none" w:sz="0" w:space="0" w:color="auto"/>
            <w:bottom w:val="none" w:sz="0" w:space="0" w:color="auto"/>
            <w:right w:val="none" w:sz="0" w:space="0" w:color="auto"/>
          </w:divBdr>
        </w:div>
        <w:div w:id="926184528">
          <w:marLeft w:val="0"/>
          <w:marRight w:val="0"/>
          <w:marTop w:val="0"/>
          <w:marBottom w:val="0"/>
          <w:divBdr>
            <w:top w:val="none" w:sz="0" w:space="0" w:color="auto"/>
            <w:left w:val="none" w:sz="0" w:space="0" w:color="auto"/>
            <w:bottom w:val="none" w:sz="0" w:space="0" w:color="auto"/>
            <w:right w:val="none" w:sz="0" w:space="0" w:color="auto"/>
          </w:divBdr>
        </w:div>
        <w:div w:id="1184199298">
          <w:marLeft w:val="0"/>
          <w:marRight w:val="0"/>
          <w:marTop w:val="0"/>
          <w:marBottom w:val="0"/>
          <w:divBdr>
            <w:top w:val="none" w:sz="0" w:space="0" w:color="auto"/>
            <w:left w:val="none" w:sz="0" w:space="0" w:color="auto"/>
            <w:bottom w:val="none" w:sz="0" w:space="0" w:color="auto"/>
            <w:right w:val="none" w:sz="0" w:space="0" w:color="auto"/>
          </w:divBdr>
        </w:div>
        <w:div w:id="478347747">
          <w:marLeft w:val="0"/>
          <w:marRight w:val="0"/>
          <w:marTop w:val="0"/>
          <w:marBottom w:val="0"/>
          <w:divBdr>
            <w:top w:val="none" w:sz="0" w:space="0" w:color="auto"/>
            <w:left w:val="none" w:sz="0" w:space="0" w:color="auto"/>
            <w:bottom w:val="none" w:sz="0" w:space="0" w:color="auto"/>
            <w:right w:val="none" w:sz="0" w:space="0" w:color="auto"/>
          </w:divBdr>
        </w:div>
        <w:div w:id="1997494438">
          <w:marLeft w:val="0"/>
          <w:marRight w:val="0"/>
          <w:marTop w:val="0"/>
          <w:marBottom w:val="0"/>
          <w:divBdr>
            <w:top w:val="none" w:sz="0" w:space="0" w:color="auto"/>
            <w:left w:val="none" w:sz="0" w:space="0" w:color="auto"/>
            <w:bottom w:val="none" w:sz="0" w:space="0" w:color="auto"/>
            <w:right w:val="none" w:sz="0" w:space="0" w:color="auto"/>
          </w:divBdr>
        </w:div>
        <w:div w:id="66003809">
          <w:marLeft w:val="0"/>
          <w:marRight w:val="0"/>
          <w:marTop w:val="0"/>
          <w:marBottom w:val="0"/>
          <w:divBdr>
            <w:top w:val="none" w:sz="0" w:space="0" w:color="auto"/>
            <w:left w:val="none" w:sz="0" w:space="0" w:color="auto"/>
            <w:bottom w:val="none" w:sz="0" w:space="0" w:color="auto"/>
            <w:right w:val="none" w:sz="0" w:space="0" w:color="auto"/>
          </w:divBdr>
        </w:div>
        <w:div w:id="1548490786">
          <w:marLeft w:val="0"/>
          <w:marRight w:val="0"/>
          <w:marTop w:val="0"/>
          <w:marBottom w:val="0"/>
          <w:divBdr>
            <w:top w:val="none" w:sz="0" w:space="0" w:color="auto"/>
            <w:left w:val="none" w:sz="0" w:space="0" w:color="auto"/>
            <w:bottom w:val="none" w:sz="0" w:space="0" w:color="auto"/>
            <w:right w:val="none" w:sz="0" w:space="0" w:color="auto"/>
          </w:divBdr>
        </w:div>
        <w:div w:id="1808432913">
          <w:marLeft w:val="0"/>
          <w:marRight w:val="0"/>
          <w:marTop w:val="0"/>
          <w:marBottom w:val="0"/>
          <w:divBdr>
            <w:top w:val="none" w:sz="0" w:space="0" w:color="auto"/>
            <w:left w:val="none" w:sz="0" w:space="0" w:color="auto"/>
            <w:bottom w:val="none" w:sz="0" w:space="0" w:color="auto"/>
            <w:right w:val="none" w:sz="0" w:space="0" w:color="auto"/>
          </w:divBdr>
        </w:div>
        <w:div w:id="1487480005">
          <w:marLeft w:val="0"/>
          <w:marRight w:val="0"/>
          <w:marTop w:val="0"/>
          <w:marBottom w:val="0"/>
          <w:divBdr>
            <w:top w:val="none" w:sz="0" w:space="0" w:color="auto"/>
            <w:left w:val="none" w:sz="0" w:space="0" w:color="auto"/>
            <w:bottom w:val="none" w:sz="0" w:space="0" w:color="auto"/>
            <w:right w:val="none" w:sz="0" w:space="0" w:color="auto"/>
          </w:divBdr>
        </w:div>
        <w:div w:id="565147245">
          <w:marLeft w:val="0"/>
          <w:marRight w:val="0"/>
          <w:marTop w:val="0"/>
          <w:marBottom w:val="0"/>
          <w:divBdr>
            <w:top w:val="none" w:sz="0" w:space="0" w:color="auto"/>
            <w:left w:val="none" w:sz="0" w:space="0" w:color="auto"/>
            <w:bottom w:val="none" w:sz="0" w:space="0" w:color="auto"/>
            <w:right w:val="none" w:sz="0" w:space="0" w:color="auto"/>
          </w:divBdr>
        </w:div>
        <w:div w:id="1468429663">
          <w:marLeft w:val="0"/>
          <w:marRight w:val="0"/>
          <w:marTop w:val="0"/>
          <w:marBottom w:val="0"/>
          <w:divBdr>
            <w:top w:val="none" w:sz="0" w:space="0" w:color="auto"/>
            <w:left w:val="none" w:sz="0" w:space="0" w:color="auto"/>
            <w:bottom w:val="none" w:sz="0" w:space="0" w:color="auto"/>
            <w:right w:val="none" w:sz="0" w:space="0" w:color="auto"/>
          </w:divBdr>
        </w:div>
        <w:div w:id="1716197224">
          <w:marLeft w:val="0"/>
          <w:marRight w:val="0"/>
          <w:marTop w:val="0"/>
          <w:marBottom w:val="0"/>
          <w:divBdr>
            <w:top w:val="none" w:sz="0" w:space="0" w:color="auto"/>
            <w:left w:val="none" w:sz="0" w:space="0" w:color="auto"/>
            <w:bottom w:val="none" w:sz="0" w:space="0" w:color="auto"/>
            <w:right w:val="none" w:sz="0" w:space="0" w:color="auto"/>
          </w:divBdr>
        </w:div>
        <w:div w:id="1962955465">
          <w:marLeft w:val="0"/>
          <w:marRight w:val="0"/>
          <w:marTop w:val="0"/>
          <w:marBottom w:val="0"/>
          <w:divBdr>
            <w:top w:val="none" w:sz="0" w:space="0" w:color="auto"/>
            <w:left w:val="none" w:sz="0" w:space="0" w:color="auto"/>
            <w:bottom w:val="none" w:sz="0" w:space="0" w:color="auto"/>
            <w:right w:val="none" w:sz="0" w:space="0" w:color="auto"/>
          </w:divBdr>
        </w:div>
        <w:div w:id="208535573">
          <w:marLeft w:val="0"/>
          <w:marRight w:val="0"/>
          <w:marTop w:val="0"/>
          <w:marBottom w:val="0"/>
          <w:divBdr>
            <w:top w:val="none" w:sz="0" w:space="0" w:color="auto"/>
            <w:left w:val="none" w:sz="0" w:space="0" w:color="auto"/>
            <w:bottom w:val="none" w:sz="0" w:space="0" w:color="auto"/>
            <w:right w:val="none" w:sz="0" w:space="0" w:color="auto"/>
          </w:divBdr>
        </w:div>
        <w:div w:id="856579698">
          <w:marLeft w:val="0"/>
          <w:marRight w:val="0"/>
          <w:marTop w:val="0"/>
          <w:marBottom w:val="0"/>
          <w:divBdr>
            <w:top w:val="none" w:sz="0" w:space="0" w:color="auto"/>
            <w:left w:val="none" w:sz="0" w:space="0" w:color="auto"/>
            <w:bottom w:val="none" w:sz="0" w:space="0" w:color="auto"/>
            <w:right w:val="none" w:sz="0" w:space="0" w:color="auto"/>
          </w:divBdr>
        </w:div>
        <w:div w:id="1641037182">
          <w:marLeft w:val="0"/>
          <w:marRight w:val="0"/>
          <w:marTop w:val="0"/>
          <w:marBottom w:val="0"/>
          <w:divBdr>
            <w:top w:val="none" w:sz="0" w:space="0" w:color="auto"/>
            <w:left w:val="none" w:sz="0" w:space="0" w:color="auto"/>
            <w:bottom w:val="none" w:sz="0" w:space="0" w:color="auto"/>
            <w:right w:val="none" w:sz="0" w:space="0" w:color="auto"/>
          </w:divBdr>
        </w:div>
        <w:div w:id="629676713">
          <w:marLeft w:val="0"/>
          <w:marRight w:val="0"/>
          <w:marTop w:val="0"/>
          <w:marBottom w:val="0"/>
          <w:divBdr>
            <w:top w:val="none" w:sz="0" w:space="0" w:color="auto"/>
            <w:left w:val="none" w:sz="0" w:space="0" w:color="auto"/>
            <w:bottom w:val="none" w:sz="0" w:space="0" w:color="auto"/>
            <w:right w:val="none" w:sz="0" w:space="0" w:color="auto"/>
          </w:divBdr>
        </w:div>
        <w:div w:id="1475680574">
          <w:marLeft w:val="0"/>
          <w:marRight w:val="0"/>
          <w:marTop w:val="0"/>
          <w:marBottom w:val="0"/>
          <w:divBdr>
            <w:top w:val="none" w:sz="0" w:space="0" w:color="auto"/>
            <w:left w:val="none" w:sz="0" w:space="0" w:color="auto"/>
            <w:bottom w:val="none" w:sz="0" w:space="0" w:color="auto"/>
            <w:right w:val="none" w:sz="0" w:space="0" w:color="auto"/>
          </w:divBdr>
        </w:div>
        <w:div w:id="1871457534">
          <w:marLeft w:val="0"/>
          <w:marRight w:val="0"/>
          <w:marTop w:val="0"/>
          <w:marBottom w:val="0"/>
          <w:divBdr>
            <w:top w:val="none" w:sz="0" w:space="0" w:color="auto"/>
            <w:left w:val="none" w:sz="0" w:space="0" w:color="auto"/>
            <w:bottom w:val="none" w:sz="0" w:space="0" w:color="auto"/>
            <w:right w:val="none" w:sz="0" w:space="0" w:color="auto"/>
          </w:divBdr>
        </w:div>
        <w:div w:id="842858795">
          <w:marLeft w:val="0"/>
          <w:marRight w:val="0"/>
          <w:marTop w:val="0"/>
          <w:marBottom w:val="0"/>
          <w:divBdr>
            <w:top w:val="none" w:sz="0" w:space="0" w:color="auto"/>
            <w:left w:val="none" w:sz="0" w:space="0" w:color="auto"/>
            <w:bottom w:val="none" w:sz="0" w:space="0" w:color="auto"/>
            <w:right w:val="none" w:sz="0" w:space="0" w:color="auto"/>
          </w:divBdr>
        </w:div>
        <w:div w:id="1196312196">
          <w:marLeft w:val="0"/>
          <w:marRight w:val="0"/>
          <w:marTop w:val="0"/>
          <w:marBottom w:val="0"/>
          <w:divBdr>
            <w:top w:val="none" w:sz="0" w:space="0" w:color="auto"/>
            <w:left w:val="none" w:sz="0" w:space="0" w:color="auto"/>
            <w:bottom w:val="none" w:sz="0" w:space="0" w:color="auto"/>
            <w:right w:val="none" w:sz="0" w:space="0" w:color="auto"/>
          </w:divBdr>
        </w:div>
        <w:div w:id="1683508239">
          <w:marLeft w:val="0"/>
          <w:marRight w:val="0"/>
          <w:marTop w:val="0"/>
          <w:marBottom w:val="0"/>
          <w:divBdr>
            <w:top w:val="none" w:sz="0" w:space="0" w:color="auto"/>
            <w:left w:val="none" w:sz="0" w:space="0" w:color="auto"/>
            <w:bottom w:val="none" w:sz="0" w:space="0" w:color="auto"/>
            <w:right w:val="none" w:sz="0" w:space="0" w:color="auto"/>
          </w:divBdr>
        </w:div>
        <w:div w:id="200168634">
          <w:marLeft w:val="0"/>
          <w:marRight w:val="0"/>
          <w:marTop w:val="0"/>
          <w:marBottom w:val="0"/>
          <w:divBdr>
            <w:top w:val="none" w:sz="0" w:space="0" w:color="auto"/>
            <w:left w:val="none" w:sz="0" w:space="0" w:color="auto"/>
            <w:bottom w:val="none" w:sz="0" w:space="0" w:color="auto"/>
            <w:right w:val="none" w:sz="0" w:space="0" w:color="auto"/>
          </w:divBdr>
        </w:div>
        <w:div w:id="104278558">
          <w:marLeft w:val="0"/>
          <w:marRight w:val="0"/>
          <w:marTop w:val="0"/>
          <w:marBottom w:val="0"/>
          <w:divBdr>
            <w:top w:val="none" w:sz="0" w:space="0" w:color="auto"/>
            <w:left w:val="none" w:sz="0" w:space="0" w:color="auto"/>
            <w:bottom w:val="none" w:sz="0" w:space="0" w:color="auto"/>
            <w:right w:val="none" w:sz="0" w:space="0" w:color="auto"/>
          </w:divBdr>
        </w:div>
        <w:div w:id="1268737464">
          <w:marLeft w:val="0"/>
          <w:marRight w:val="0"/>
          <w:marTop w:val="0"/>
          <w:marBottom w:val="0"/>
          <w:divBdr>
            <w:top w:val="none" w:sz="0" w:space="0" w:color="auto"/>
            <w:left w:val="none" w:sz="0" w:space="0" w:color="auto"/>
            <w:bottom w:val="none" w:sz="0" w:space="0" w:color="auto"/>
            <w:right w:val="none" w:sz="0" w:space="0" w:color="auto"/>
          </w:divBdr>
        </w:div>
        <w:div w:id="1838495846">
          <w:marLeft w:val="0"/>
          <w:marRight w:val="0"/>
          <w:marTop w:val="0"/>
          <w:marBottom w:val="0"/>
          <w:divBdr>
            <w:top w:val="none" w:sz="0" w:space="0" w:color="auto"/>
            <w:left w:val="none" w:sz="0" w:space="0" w:color="auto"/>
            <w:bottom w:val="none" w:sz="0" w:space="0" w:color="auto"/>
            <w:right w:val="none" w:sz="0" w:space="0" w:color="auto"/>
          </w:divBdr>
        </w:div>
        <w:div w:id="1057320850">
          <w:marLeft w:val="0"/>
          <w:marRight w:val="0"/>
          <w:marTop w:val="0"/>
          <w:marBottom w:val="0"/>
          <w:divBdr>
            <w:top w:val="none" w:sz="0" w:space="0" w:color="auto"/>
            <w:left w:val="none" w:sz="0" w:space="0" w:color="auto"/>
            <w:bottom w:val="none" w:sz="0" w:space="0" w:color="auto"/>
            <w:right w:val="none" w:sz="0" w:space="0" w:color="auto"/>
          </w:divBdr>
        </w:div>
        <w:div w:id="1831481845">
          <w:marLeft w:val="0"/>
          <w:marRight w:val="0"/>
          <w:marTop w:val="0"/>
          <w:marBottom w:val="0"/>
          <w:divBdr>
            <w:top w:val="none" w:sz="0" w:space="0" w:color="auto"/>
            <w:left w:val="none" w:sz="0" w:space="0" w:color="auto"/>
            <w:bottom w:val="none" w:sz="0" w:space="0" w:color="auto"/>
            <w:right w:val="none" w:sz="0" w:space="0" w:color="auto"/>
          </w:divBdr>
        </w:div>
        <w:div w:id="293558412">
          <w:marLeft w:val="0"/>
          <w:marRight w:val="0"/>
          <w:marTop w:val="0"/>
          <w:marBottom w:val="0"/>
          <w:divBdr>
            <w:top w:val="none" w:sz="0" w:space="0" w:color="auto"/>
            <w:left w:val="none" w:sz="0" w:space="0" w:color="auto"/>
            <w:bottom w:val="none" w:sz="0" w:space="0" w:color="auto"/>
            <w:right w:val="none" w:sz="0" w:space="0" w:color="auto"/>
          </w:divBdr>
        </w:div>
        <w:div w:id="179662863">
          <w:marLeft w:val="0"/>
          <w:marRight w:val="0"/>
          <w:marTop w:val="0"/>
          <w:marBottom w:val="0"/>
          <w:divBdr>
            <w:top w:val="none" w:sz="0" w:space="0" w:color="auto"/>
            <w:left w:val="none" w:sz="0" w:space="0" w:color="auto"/>
            <w:bottom w:val="none" w:sz="0" w:space="0" w:color="auto"/>
            <w:right w:val="none" w:sz="0" w:space="0" w:color="auto"/>
          </w:divBdr>
        </w:div>
      </w:divsChild>
    </w:div>
    <w:div w:id="612591710">
      <w:bodyDiv w:val="1"/>
      <w:marLeft w:val="0"/>
      <w:marRight w:val="0"/>
      <w:marTop w:val="0"/>
      <w:marBottom w:val="0"/>
      <w:divBdr>
        <w:top w:val="none" w:sz="0" w:space="0" w:color="auto"/>
        <w:left w:val="none" w:sz="0" w:space="0" w:color="auto"/>
        <w:bottom w:val="none" w:sz="0" w:space="0" w:color="auto"/>
        <w:right w:val="none" w:sz="0" w:space="0" w:color="auto"/>
      </w:divBdr>
      <w:divsChild>
        <w:div w:id="2101636715">
          <w:marLeft w:val="0"/>
          <w:marRight w:val="0"/>
          <w:marTop w:val="0"/>
          <w:marBottom w:val="0"/>
          <w:divBdr>
            <w:top w:val="none" w:sz="0" w:space="0" w:color="auto"/>
            <w:left w:val="none" w:sz="0" w:space="0" w:color="auto"/>
            <w:bottom w:val="none" w:sz="0" w:space="0" w:color="auto"/>
            <w:right w:val="none" w:sz="0" w:space="0" w:color="auto"/>
          </w:divBdr>
        </w:div>
      </w:divsChild>
    </w:div>
    <w:div w:id="792138026">
      <w:bodyDiv w:val="1"/>
      <w:marLeft w:val="0"/>
      <w:marRight w:val="0"/>
      <w:marTop w:val="0"/>
      <w:marBottom w:val="0"/>
      <w:divBdr>
        <w:top w:val="none" w:sz="0" w:space="0" w:color="auto"/>
        <w:left w:val="none" w:sz="0" w:space="0" w:color="auto"/>
        <w:bottom w:val="none" w:sz="0" w:space="0" w:color="auto"/>
        <w:right w:val="none" w:sz="0" w:space="0" w:color="auto"/>
      </w:divBdr>
      <w:divsChild>
        <w:div w:id="822812986">
          <w:marLeft w:val="0"/>
          <w:marRight w:val="0"/>
          <w:marTop w:val="0"/>
          <w:marBottom w:val="0"/>
          <w:divBdr>
            <w:top w:val="none" w:sz="0" w:space="0" w:color="auto"/>
            <w:left w:val="none" w:sz="0" w:space="0" w:color="auto"/>
            <w:bottom w:val="none" w:sz="0" w:space="0" w:color="auto"/>
            <w:right w:val="none" w:sz="0" w:space="0" w:color="auto"/>
          </w:divBdr>
        </w:div>
        <w:div w:id="1064108089">
          <w:marLeft w:val="0"/>
          <w:marRight w:val="0"/>
          <w:marTop w:val="0"/>
          <w:marBottom w:val="0"/>
          <w:divBdr>
            <w:top w:val="none" w:sz="0" w:space="0" w:color="auto"/>
            <w:left w:val="none" w:sz="0" w:space="0" w:color="auto"/>
            <w:bottom w:val="none" w:sz="0" w:space="0" w:color="auto"/>
            <w:right w:val="none" w:sz="0" w:space="0" w:color="auto"/>
          </w:divBdr>
        </w:div>
        <w:div w:id="570893815">
          <w:marLeft w:val="0"/>
          <w:marRight w:val="0"/>
          <w:marTop w:val="0"/>
          <w:marBottom w:val="0"/>
          <w:divBdr>
            <w:top w:val="none" w:sz="0" w:space="0" w:color="auto"/>
            <w:left w:val="none" w:sz="0" w:space="0" w:color="auto"/>
            <w:bottom w:val="none" w:sz="0" w:space="0" w:color="auto"/>
            <w:right w:val="none" w:sz="0" w:space="0" w:color="auto"/>
          </w:divBdr>
        </w:div>
        <w:div w:id="2043508027">
          <w:marLeft w:val="0"/>
          <w:marRight w:val="0"/>
          <w:marTop w:val="0"/>
          <w:marBottom w:val="0"/>
          <w:divBdr>
            <w:top w:val="none" w:sz="0" w:space="0" w:color="auto"/>
            <w:left w:val="none" w:sz="0" w:space="0" w:color="auto"/>
            <w:bottom w:val="none" w:sz="0" w:space="0" w:color="auto"/>
            <w:right w:val="none" w:sz="0" w:space="0" w:color="auto"/>
          </w:divBdr>
        </w:div>
        <w:div w:id="209654086">
          <w:marLeft w:val="0"/>
          <w:marRight w:val="0"/>
          <w:marTop w:val="0"/>
          <w:marBottom w:val="0"/>
          <w:divBdr>
            <w:top w:val="none" w:sz="0" w:space="0" w:color="auto"/>
            <w:left w:val="none" w:sz="0" w:space="0" w:color="auto"/>
            <w:bottom w:val="none" w:sz="0" w:space="0" w:color="auto"/>
            <w:right w:val="none" w:sz="0" w:space="0" w:color="auto"/>
          </w:divBdr>
        </w:div>
        <w:div w:id="1005742127">
          <w:marLeft w:val="0"/>
          <w:marRight w:val="0"/>
          <w:marTop w:val="0"/>
          <w:marBottom w:val="0"/>
          <w:divBdr>
            <w:top w:val="none" w:sz="0" w:space="0" w:color="auto"/>
            <w:left w:val="none" w:sz="0" w:space="0" w:color="auto"/>
            <w:bottom w:val="none" w:sz="0" w:space="0" w:color="auto"/>
            <w:right w:val="none" w:sz="0" w:space="0" w:color="auto"/>
          </w:divBdr>
        </w:div>
        <w:div w:id="1984500825">
          <w:marLeft w:val="0"/>
          <w:marRight w:val="0"/>
          <w:marTop w:val="0"/>
          <w:marBottom w:val="0"/>
          <w:divBdr>
            <w:top w:val="none" w:sz="0" w:space="0" w:color="auto"/>
            <w:left w:val="none" w:sz="0" w:space="0" w:color="auto"/>
            <w:bottom w:val="none" w:sz="0" w:space="0" w:color="auto"/>
            <w:right w:val="none" w:sz="0" w:space="0" w:color="auto"/>
          </w:divBdr>
        </w:div>
        <w:div w:id="547494830">
          <w:marLeft w:val="0"/>
          <w:marRight w:val="0"/>
          <w:marTop w:val="0"/>
          <w:marBottom w:val="0"/>
          <w:divBdr>
            <w:top w:val="none" w:sz="0" w:space="0" w:color="auto"/>
            <w:left w:val="none" w:sz="0" w:space="0" w:color="auto"/>
            <w:bottom w:val="none" w:sz="0" w:space="0" w:color="auto"/>
            <w:right w:val="none" w:sz="0" w:space="0" w:color="auto"/>
          </w:divBdr>
        </w:div>
        <w:div w:id="2063018559">
          <w:marLeft w:val="0"/>
          <w:marRight w:val="0"/>
          <w:marTop w:val="0"/>
          <w:marBottom w:val="0"/>
          <w:divBdr>
            <w:top w:val="none" w:sz="0" w:space="0" w:color="auto"/>
            <w:left w:val="none" w:sz="0" w:space="0" w:color="auto"/>
            <w:bottom w:val="none" w:sz="0" w:space="0" w:color="auto"/>
            <w:right w:val="none" w:sz="0" w:space="0" w:color="auto"/>
          </w:divBdr>
        </w:div>
        <w:div w:id="1090472300">
          <w:marLeft w:val="0"/>
          <w:marRight w:val="0"/>
          <w:marTop w:val="0"/>
          <w:marBottom w:val="0"/>
          <w:divBdr>
            <w:top w:val="none" w:sz="0" w:space="0" w:color="auto"/>
            <w:left w:val="none" w:sz="0" w:space="0" w:color="auto"/>
            <w:bottom w:val="none" w:sz="0" w:space="0" w:color="auto"/>
            <w:right w:val="none" w:sz="0" w:space="0" w:color="auto"/>
          </w:divBdr>
        </w:div>
        <w:div w:id="1219324605">
          <w:marLeft w:val="0"/>
          <w:marRight w:val="0"/>
          <w:marTop w:val="0"/>
          <w:marBottom w:val="0"/>
          <w:divBdr>
            <w:top w:val="none" w:sz="0" w:space="0" w:color="auto"/>
            <w:left w:val="none" w:sz="0" w:space="0" w:color="auto"/>
            <w:bottom w:val="none" w:sz="0" w:space="0" w:color="auto"/>
            <w:right w:val="none" w:sz="0" w:space="0" w:color="auto"/>
          </w:divBdr>
        </w:div>
        <w:div w:id="112602446">
          <w:marLeft w:val="0"/>
          <w:marRight w:val="0"/>
          <w:marTop w:val="0"/>
          <w:marBottom w:val="0"/>
          <w:divBdr>
            <w:top w:val="none" w:sz="0" w:space="0" w:color="auto"/>
            <w:left w:val="none" w:sz="0" w:space="0" w:color="auto"/>
            <w:bottom w:val="none" w:sz="0" w:space="0" w:color="auto"/>
            <w:right w:val="none" w:sz="0" w:space="0" w:color="auto"/>
          </w:divBdr>
        </w:div>
        <w:div w:id="350841718">
          <w:marLeft w:val="0"/>
          <w:marRight w:val="0"/>
          <w:marTop w:val="0"/>
          <w:marBottom w:val="0"/>
          <w:divBdr>
            <w:top w:val="none" w:sz="0" w:space="0" w:color="auto"/>
            <w:left w:val="none" w:sz="0" w:space="0" w:color="auto"/>
            <w:bottom w:val="none" w:sz="0" w:space="0" w:color="auto"/>
            <w:right w:val="none" w:sz="0" w:space="0" w:color="auto"/>
          </w:divBdr>
        </w:div>
        <w:div w:id="839082338">
          <w:marLeft w:val="0"/>
          <w:marRight w:val="0"/>
          <w:marTop w:val="0"/>
          <w:marBottom w:val="0"/>
          <w:divBdr>
            <w:top w:val="none" w:sz="0" w:space="0" w:color="auto"/>
            <w:left w:val="none" w:sz="0" w:space="0" w:color="auto"/>
            <w:bottom w:val="none" w:sz="0" w:space="0" w:color="auto"/>
            <w:right w:val="none" w:sz="0" w:space="0" w:color="auto"/>
          </w:divBdr>
        </w:div>
        <w:div w:id="218826242">
          <w:marLeft w:val="0"/>
          <w:marRight w:val="0"/>
          <w:marTop w:val="0"/>
          <w:marBottom w:val="0"/>
          <w:divBdr>
            <w:top w:val="none" w:sz="0" w:space="0" w:color="auto"/>
            <w:left w:val="none" w:sz="0" w:space="0" w:color="auto"/>
            <w:bottom w:val="none" w:sz="0" w:space="0" w:color="auto"/>
            <w:right w:val="none" w:sz="0" w:space="0" w:color="auto"/>
          </w:divBdr>
        </w:div>
        <w:div w:id="253516221">
          <w:marLeft w:val="0"/>
          <w:marRight w:val="0"/>
          <w:marTop w:val="0"/>
          <w:marBottom w:val="0"/>
          <w:divBdr>
            <w:top w:val="none" w:sz="0" w:space="0" w:color="auto"/>
            <w:left w:val="none" w:sz="0" w:space="0" w:color="auto"/>
            <w:bottom w:val="none" w:sz="0" w:space="0" w:color="auto"/>
            <w:right w:val="none" w:sz="0" w:space="0" w:color="auto"/>
          </w:divBdr>
        </w:div>
        <w:div w:id="1192493246">
          <w:marLeft w:val="0"/>
          <w:marRight w:val="0"/>
          <w:marTop w:val="0"/>
          <w:marBottom w:val="0"/>
          <w:divBdr>
            <w:top w:val="none" w:sz="0" w:space="0" w:color="auto"/>
            <w:left w:val="none" w:sz="0" w:space="0" w:color="auto"/>
            <w:bottom w:val="none" w:sz="0" w:space="0" w:color="auto"/>
            <w:right w:val="none" w:sz="0" w:space="0" w:color="auto"/>
          </w:divBdr>
        </w:div>
        <w:div w:id="234558637">
          <w:marLeft w:val="0"/>
          <w:marRight w:val="0"/>
          <w:marTop w:val="0"/>
          <w:marBottom w:val="0"/>
          <w:divBdr>
            <w:top w:val="none" w:sz="0" w:space="0" w:color="auto"/>
            <w:left w:val="none" w:sz="0" w:space="0" w:color="auto"/>
            <w:bottom w:val="none" w:sz="0" w:space="0" w:color="auto"/>
            <w:right w:val="none" w:sz="0" w:space="0" w:color="auto"/>
          </w:divBdr>
        </w:div>
        <w:div w:id="916861596">
          <w:marLeft w:val="0"/>
          <w:marRight w:val="0"/>
          <w:marTop w:val="0"/>
          <w:marBottom w:val="0"/>
          <w:divBdr>
            <w:top w:val="none" w:sz="0" w:space="0" w:color="auto"/>
            <w:left w:val="none" w:sz="0" w:space="0" w:color="auto"/>
            <w:bottom w:val="none" w:sz="0" w:space="0" w:color="auto"/>
            <w:right w:val="none" w:sz="0" w:space="0" w:color="auto"/>
          </w:divBdr>
        </w:div>
        <w:div w:id="522599529">
          <w:marLeft w:val="0"/>
          <w:marRight w:val="0"/>
          <w:marTop w:val="0"/>
          <w:marBottom w:val="0"/>
          <w:divBdr>
            <w:top w:val="none" w:sz="0" w:space="0" w:color="auto"/>
            <w:left w:val="none" w:sz="0" w:space="0" w:color="auto"/>
            <w:bottom w:val="none" w:sz="0" w:space="0" w:color="auto"/>
            <w:right w:val="none" w:sz="0" w:space="0" w:color="auto"/>
          </w:divBdr>
        </w:div>
        <w:div w:id="644161421">
          <w:marLeft w:val="0"/>
          <w:marRight w:val="0"/>
          <w:marTop w:val="0"/>
          <w:marBottom w:val="0"/>
          <w:divBdr>
            <w:top w:val="none" w:sz="0" w:space="0" w:color="auto"/>
            <w:left w:val="none" w:sz="0" w:space="0" w:color="auto"/>
            <w:bottom w:val="none" w:sz="0" w:space="0" w:color="auto"/>
            <w:right w:val="none" w:sz="0" w:space="0" w:color="auto"/>
          </w:divBdr>
        </w:div>
        <w:div w:id="1817647100">
          <w:marLeft w:val="0"/>
          <w:marRight w:val="0"/>
          <w:marTop w:val="0"/>
          <w:marBottom w:val="0"/>
          <w:divBdr>
            <w:top w:val="none" w:sz="0" w:space="0" w:color="auto"/>
            <w:left w:val="none" w:sz="0" w:space="0" w:color="auto"/>
            <w:bottom w:val="none" w:sz="0" w:space="0" w:color="auto"/>
            <w:right w:val="none" w:sz="0" w:space="0" w:color="auto"/>
          </w:divBdr>
        </w:div>
        <w:div w:id="1061514375">
          <w:marLeft w:val="0"/>
          <w:marRight w:val="0"/>
          <w:marTop w:val="0"/>
          <w:marBottom w:val="0"/>
          <w:divBdr>
            <w:top w:val="none" w:sz="0" w:space="0" w:color="auto"/>
            <w:left w:val="none" w:sz="0" w:space="0" w:color="auto"/>
            <w:bottom w:val="none" w:sz="0" w:space="0" w:color="auto"/>
            <w:right w:val="none" w:sz="0" w:space="0" w:color="auto"/>
          </w:divBdr>
        </w:div>
        <w:div w:id="409353047">
          <w:marLeft w:val="0"/>
          <w:marRight w:val="0"/>
          <w:marTop w:val="0"/>
          <w:marBottom w:val="0"/>
          <w:divBdr>
            <w:top w:val="none" w:sz="0" w:space="0" w:color="auto"/>
            <w:left w:val="none" w:sz="0" w:space="0" w:color="auto"/>
            <w:bottom w:val="none" w:sz="0" w:space="0" w:color="auto"/>
            <w:right w:val="none" w:sz="0" w:space="0" w:color="auto"/>
          </w:divBdr>
        </w:div>
        <w:div w:id="298536006">
          <w:marLeft w:val="0"/>
          <w:marRight w:val="0"/>
          <w:marTop w:val="0"/>
          <w:marBottom w:val="0"/>
          <w:divBdr>
            <w:top w:val="none" w:sz="0" w:space="0" w:color="auto"/>
            <w:left w:val="none" w:sz="0" w:space="0" w:color="auto"/>
            <w:bottom w:val="none" w:sz="0" w:space="0" w:color="auto"/>
            <w:right w:val="none" w:sz="0" w:space="0" w:color="auto"/>
          </w:divBdr>
        </w:div>
        <w:div w:id="1161241718">
          <w:marLeft w:val="0"/>
          <w:marRight w:val="0"/>
          <w:marTop w:val="0"/>
          <w:marBottom w:val="0"/>
          <w:divBdr>
            <w:top w:val="none" w:sz="0" w:space="0" w:color="auto"/>
            <w:left w:val="none" w:sz="0" w:space="0" w:color="auto"/>
            <w:bottom w:val="none" w:sz="0" w:space="0" w:color="auto"/>
            <w:right w:val="none" w:sz="0" w:space="0" w:color="auto"/>
          </w:divBdr>
        </w:div>
        <w:div w:id="1701202033">
          <w:marLeft w:val="0"/>
          <w:marRight w:val="0"/>
          <w:marTop w:val="0"/>
          <w:marBottom w:val="0"/>
          <w:divBdr>
            <w:top w:val="none" w:sz="0" w:space="0" w:color="auto"/>
            <w:left w:val="none" w:sz="0" w:space="0" w:color="auto"/>
            <w:bottom w:val="none" w:sz="0" w:space="0" w:color="auto"/>
            <w:right w:val="none" w:sz="0" w:space="0" w:color="auto"/>
          </w:divBdr>
        </w:div>
        <w:div w:id="935283616">
          <w:marLeft w:val="0"/>
          <w:marRight w:val="0"/>
          <w:marTop w:val="0"/>
          <w:marBottom w:val="0"/>
          <w:divBdr>
            <w:top w:val="none" w:sz="0" w:space="0" w:color="auto"/>
            <w:left w:val="none" w:sz="0" w:space="0" w:color="auto"/>
            <w:bottom w:val="none" w:sz="0" w:space="0" w:color="auto"/>
            <w:right w:val="none" w:sz="0" w:space="0" w:color="auto"/>
          </w:divBdr>
        </w:div>
        <w:div w:id="1686591753">
          <w:marLeft w:val="0"/>
          <w:marRight w:val="0"/>
          <w:marTop w:val="0"/>
          <w:marBottom w:val="0"/>
          <w:divBdr>
            <w:top w:val="none" w:sz="0" w:space="0" w:color="auto"/>
            <w:left w:val="none" w:sz="0" w:space="0" w:color="auto"/>
            <w:bottom w:val="none" w:sz="0" w:space="0" w:color="auto"/>
            <w:right w:val="none" w:sz="0" w:space="0" w:color="auto"/>
          </w:divBdr>
        </w:div>
        <w:div w:id="1300571248">
          <w:marLeft w:val="0"/>
          <w:marRight w:val="0"/>
          <w:marTop w:val="0"/>
          <w:marBottom w:val="0"/>
          <w:divBdr>
            <w:top w:val="none" w:sz="0" w:space="0" w:color="auto"/>
            <w:left w:val="none" w:sz="0" w:space="0" w:color="auto"/>
            <w:bottom w:val="none" w:sz="0" w:space="0" w:color="auto"/>
            <w:right w:val="none" w:sz="0" w:space="0" w:color="auto"/>
          </w:divBdr>
        </w:div>
        <w:div w:id="2015329614">
          <w:marLeft w:val="0"/>
          <w:marRight w:val="0"/>
          <w:marTop w:val="0"/>
          <w:marBottom w:val="0"/>
          <w:divBdr>
            <w:top w:val="none" w:sz="0" w:space="0" w:color="auto"/>
            <w:left w:val="none" w:sz="0" w:space="0" w:color="auto"/>
            <w:bottom w:val="none" w:sz="0" w:space="0" w:color="auto"/>
            <w:right w:val="none" w:sz="0" w:space="0" w:color="auto"/>
          </w:divBdr>
        </w:div>
        <w:div w:id="1474788803">
          <w:marLeft w:val="0"/>
          <w:marRight w:val="0"/>
          <w:marTop w:val="0"/>
          <w:marBottom w:val="0"/>
          <w:divBdr>
            <w:top w:val="none" w:sz="0" w:space="0" w:color="auto"/>
            <w:left w:val="none" w:sz="0" w:space="0" w:color="auto"/>
            <w:bottom w:val="none" w:sz="0" w:space="0" w:color="auto"/>
            <w:right w:val="none" w:sz="0" w:space="0" w:color="auto"/>
          </w:divBdr>
        </w:div>
        <w:div w:id="1493523680">
          <w:marLeft w:val="0"/>
          <w:marRight w:val="0"/>
          <w:marTop w:val="0"/>
          <w:marBottom w:val="0"/>
          <w:divBdr>
            <w:top w:val="none" w:sz="0" w:space="0" w:color="auto"/>
            <w:left w:val="none" w:sz="0" w:space="0" w:color="auto"/>
            <w:bottom w:val="none" w:sz="0" w:space="0" w:color="auto"/>
            <w:right w:val="none" w:sz="0" w:space="0" w:color="auto"/>
          </w:divBdr>
        </w:div>
        <w:div w:id="777021786">
          <w:marLeft w:val="0"/>
          <w:marRight w:val="0"/>
          <w:marTop w:val="0"/>
          <w:marBottom w:val="0"/>
          <w:divBdr>
            <w:top w:val="none" w:sz="0" w:space="0" w:color="auto"/>
            <w:left w:val="none" w:sz="0" w:space="0" w:color="auto"/>
            <w:bottom w:val="none" w:sz="0" w:space="0" w:color="auto"/>
            <w:right w:val="none" w:sz="0" w:space="0" w:color="auto"/>
          </w:divBdr>
        </w:div>
        <w:div w:id="1186797335">
          <w:marLeft w:val="0"/>
          <w:marRight w:val="0"/>
          <w:marTop w:val="0"/>
          <w:marBottom w:val="0"/>
          <w:divBdr>
            <w:top w:val="none" w:sz="0" w:space="0" w:color="auto"/>
            <w:left w:val="none" w:sz="0" w:space="0" w:color="auto"/>
            <w:bottom w:val="none" w:sz="0" w:space="0" w:color="auto"/>
            <w:right w:val="none" w:sz="0" w:space="0" w:color="auto"/>
          </w:divBdr>
        </w:div>
        <w:div w:id="1249919668">
          <w:marLeft w:val="0"/>
          <w:marRight w:val="0"/>
          <w:marTop w:val="0"/>
          <w:marBottom w:val="0"/>
          <w:divBdr>
            <w:top w:val="none" w:sz="0" w:space="0" w:color="auto"/>
            <w:left w:val="none" w:sz="0" w:space="0" w:color="auto"/>
            <w:bottom w:val="none" w:sz="0" w:space="0" w:color="auto"/>
            <w:right w:val="none" w:sz="0" w:space="0" w:color="auto"/>
          </w:divBdr>
        </w:div>
        <w:div w:id="188422429">
          <w:marLeft w:val="0"/>
          <w:marRight w:val="0"/>
          <w:marTop w:val="0"/>
          <w:marBottom w:val="0"/>
          <w:divBdr>
            <w:top w:val="none" w:sz="0" w:space="0" w:color="auto"/>
            <w:left w:val="none" w:sz="0" w:space="0" w:color="auto"/>
            <w:bottom w:val="none" w:sz="0" w:space="0" w:color="auto"/>
            <w:right w:val="none" w:sz="0" w:space="0" w:color="auto"/>
          </w:divBdr>
        </w:div>
        <w:div w:id="1952394604">
          <w:marLeft w:val="0"/>
          <w:marRight w:val="0"/>
          <w:marTop w:val="0"/>
          <w:marBottom w:val="0"/>
          <w:divBdr>
            <w:top w:val="none" w:sz="0" w:space="0" w:color="auto"/>
            <w:left w:val="none" w:sz="0" w:space="0" w:color="auto"/>
            <w:bottom w:val="none" w:sz="0" w:space="0" w:color="auto"/>
            <w:right w:val="none" w:sz="0" w:space="0" w:color="auto"/>
          </w:divBdr>
        </w:div>
        <w:div w:id="605116157">
          <w:marLeft w:val="0"/>
          <w:marRight w:val="0"/>
          <w:marTop w:val="0"/>
          <w:marBottom w:val="0"/>
          <w:divBdr>
            <w:top w:val="none" w:sz="0" w:space="0" w:color="auto"/>
            <w:left w:val="none" w:sz="0" w:space="0" w:color="auto"/>
            <w:bottom w:val="none" w:sz="0" w:space="0" w:color="auto"/>
            <w:right w:val="none" w:sz="0" w:space="0" w:color="auto"/>
          </w:divBdr>
        </w:div>
        <w:div w:id="1390302411">
          <w:marLeft w:val="0"/>
          <w:marRight w:val="0"/>
          <w:marTop w:val="0"/>
          <w:marBottom w:val="0"/>
          <w:divBdr>
            <w:top w:val="none" w:sz="0" w:space="0" w:color="auto"/>
            <w:left w:val="none" w:sz="0" w:space="0" w:color="auto"/>
            <w:bottom w:val="none" w:sz="0" w:space="0" w:color="auto"/>
            <w:right w:val="none" w:sz="0" w:space="0" w:color="auto"/>
          </w:divBdr>
        </w:div>
        <w:div w:id="452133893">
          <w:marLeft w:val="0"/>
          <w:marRight w:val="0"/>
          <w:marTop w:val="0"/>
          <w:marBottom w:val="0"/>
          <w:divBdr>
            <w:top w:val="none" w:sz="0" w:space="0" w:color="auto"/>
            <w:left w:val="none" w:sz="0" w:space="0" w:color="auto"/>
            <w:bottom w:val="none" w:sz="0" w:space="0" w:color="auto"/>
            <w:right w:val="none" w:sz="0" w:space="0" w:color="auto"/>
          </w:divBdr>
        </w:div>
        <w:div w:id="1195263621">
          <w:marLeft w:val="0"/>
          <w:marRight w:val="0"/>
          <w:marTop w:val="0"/>
          <w:marBottom w:val="0"/>
          <w:divBdr>
            <w:top w:val="none" w:sz="0" w:space="0" w:color="auto"/>
            <w:left w:val="none" w:sz="0" w:space="0" w:color="auto"/>
            <w:bottom w:val="none" w:sz="0" w:space="0" w:color="auto"/>
            <w:right w:val="none" w:sz="0" w:space="0" w:color="auto"/>
          </w:divBdr>
        </w:div>
        <w:div w:id="27878330">
          <w:marLeft w:val="0"/>
          <w:marRight w:val="0"/>
          <w:marTop w:val="0"/>
          <w:marBottom w:val="0"/>
          <w:divBdr>
            <w:top w:val="none" w:sz="0" w:space="0" w:color="auto"/>
            <w:left w:val="none" w:sz="0" w:space="0" w:color="auto"/>
            <w:bottom w:val="none" w:sz="0" w:space="0" w:color="auto"/>
            <w:right w:val="none" w:sz="0" w:space="0" w:color="auto"/>
          </w:divBdr>
        </w:div>
        <w:div w:id="256059004">
          <w:marLeft w:val="0"/>
          <w:marRight w:val="0"/>
          <w:marTop w:val="0"/>
          <w:marBottom w:val="0"/>
          <w:divBdr>
            <w:top w:val="none" w:sz="0" w:space="0" w:color="auto"/>
            <w:left w:val="none" w:sz="0" w:space="0" w:color="auto"/>
            <w:bottom w:val="none" w:sz="0" w:space="0" w:color="auto"/>
            <w:right w:val="none" w:sz="0" w:space="0" w:color="auto"/>
          </w:divBdr>
        </w:div>
        <w:div w:id="78213838">
          <w:marLeft w:val="0"/>
          <w:marRight w:val="0"/>
          <w:marTop w:val="0"/>
          <w:marBottom w:val="0"/>
          <w:divBdr>
            <w:top w:val="none" w:sz="0" w:space="0" w:color="auto"/>
            <w:left w:val="none" w:sz="0" w:space="0" w:color="auto"/>
            <w:bottom w:val="none" w:sz="0" w:space="0" w:color="auto"/>
            <w:right w:val="none" w:sz="0" w:space="0" w:color="auto"/>
          </w:divBdr>
        </w:div>
        <w:div w:id="1887915040">
          <w:marLeft w:val="0"/>
          <w:marRight w:val="0"/>
          <w:marTop w:val="0"/>
          <w:marBottom w:val="0"/>
          <w:divBdr>
            <w:top w:val="none" w:sz="0" w:space="0" w:color="auto"/>
            <w:left w:val="none" w:sz="0" w:space="0" w:color="auto"/>
            <w:bottom w:val="none" w:sz="0" w:space="0" w:color="auto"/>
            <w:right w:val="none" w:sz="0" w:space="0" w:color="auto"/>
          </w:divBdr>
        </w:div>
        <w:div w:id="55327171">
          <w:marLeft w:val="0"/>
          <w:marRight w:val="0"/>
          <w:marTop w:val="0"/>
          <w:marBottom w:val="0"/>
          <w:divBdr>
            <w:top w:val="none" w:sz="0" w:space="0" w:color="auto"/>
            <w:left w:val="none" w:sz="0" w:space="0" w:color="auto"/>
            <w:bottom w:val="none" w:sz="0" w:space="0" w:color="auto"/>
            <w:right w:val="none" w:sz="0" w:space="0" w:color="auto"/>
          </w:divBdr>
        </w:div>
        <w:div w:id="184759106">
          <w:marLeft w:val="0"/>
          <w:marRight w:val="0"/>
          <w:marTop w:val="0"/>
          <w:marBottom w:val="0"/>
          <w:divBdr>
            <w:top w:val="none" w:sz="0" w:space="0" w:color="auto"/>
            <w:left w:val="none" w:sz="0" w:space="0" w:color="auto"/>
            <w:bottom w:val="none" w:sz="0" w:space="0" w:color="auto"/>
            <w:right w:val="none" w:sz="0" w:space="0" w:color="auto"/>
          </w:divBdr>
        </w:div>
        <w:div w:id="115492429">
          <w:marLeft w:val="0"/>
          <w:marRight w:val="0"/>
          <w:marTop w:val="0"/>
          <w:marBottom w:val="0"/>
          <w:divBdr>
            <w:top w:val="none" w:sz="0" w:space="0" w:color="auto"/>
            <w:left w:val="none" w:sz="0" w:space="0" w:color="auto"/>
            <w:bottom w:val="none" w:sz="0" w:space="0" w:color="auto"/>
            <w:right w:val="none" w:sz="0" w:space="0" w:color="auto"/>
          </w:divBdr>
        </w:div>
        <w:div w:id="540173981">
          <w:marLeft w:val="0"/>
          <w:marRight w:val="0"/>
          <w:marTop w:val="0"/>
          <w:marBottom w:val="0"/>
          <w:divBdr>
            <w:top w:val="none" w:sz="0" w:space="0" w:color="auto"/>
            <w:left w:val="none" w:sz="0" w:space="0" w:color="auto"/>
            <w:bottom w:val="none" w:sz="0" w:space="0" w:color="auto"/>
            <w:right w:val="none" w:sz="0" w:space="0" w:color="auto"/>
          </w:divBdr>
        </w:div>
        <w:div w:id="1057096038">
          <w:marLeft w:val="0"/>
          <w:marRight w:val="0"/>
          <w:marTop w:val="0"/>
          <w:marBottom w:val="0"/>
          <w:divBdr>
            <w:top w:val="none" w:sz="0" w:space="0" w:color="auto"/>
            <w:left w:val="none" w:sz="0" w:space="0" w:color="auto"/>
            <w:bottom w:val="none" w:sz="0" w:space="0" w:color="auto"/>
            <w:right w:val="none" w:sz="0" w:space="0" w:color="auto"/>
          </w:divBdr>
        </w:div>
        <w:div w:id="756557439">
          <w:marLeft w:val="0"/>
          <w:marRight w:val="0"/>
          <w:marTop w:val="0"/>
          <w:marBottom w:val="0"/>
          <w:divBdr>
            <w:top w:val="none" w:sz="0" w:space="0" w:color="auto"/>
            <w:left w:val="none" w:sz="0" w:space="0" w:color="auto"/>
            <w:bottom w:val="none" w:sz="0" w:space="0" w:color="auto"/>
            <w:right w:val="none" w:sz="0" w:space="0" w:color="auto"/>
          </w:divBdr>
        </w:div>
        <w:div w:id="1966082512">
          <w:marLeft w:val="0"/>
          <w:marRight w:val="0"/>
          <w:marTop w:val="0"/>
          <w:marBottom w:val="0"/>
          <w:divBdr>
            <w:top w:val="none" w:sz="0" w:space="0" w:color="auto"/>
            <w:left w:val="none" w:sz="0" w:space="0" w:color="auto"/>
            <w:bottom w:val="none" w:sz="0" w:space="0" w:color="auto"/>
            <w:right w:val="none" w:sz="0" w:space="0" w:color="auto"/>
          </w:divBdr>
        </w:div>
        <w:div w:id="141506924">
          <w:marLeft w:val="0"/>
          <w:marRight w:val="0"/>
          <w:marTop w:val="0"/>
          <w:marBottom w:val="0"/>
          <w:divBdr>
            <w:top w:val="none" w:sz="0" w:space="0" w:color="auto"/>
            <w:left w:val="none" w:sz="0" w:space="0" w:color="auto"/>
            <w:bottom w:val="none" w:sz="0" w:space="0" w:color="auto"/>
            <w:right w:val="none" w:sz="0" w:space="0" w:color="auto"/>
          </w:divBdr>
        </w:div>
        <w:div w:id="2084645461">
          <w:marLeft w:val="0"/>
          <w:marRight w:val="0"/>
          <w:marTop w:val="0"/>
          <w:marBottom w:val="0"/>
          <w:divBdr>
            <w:top w:val="none" w:sz="0" w:space="0" w:color="auto"/>
            <w:left w:val="none" w:sz="0" w:space="0" w:color="auto"/>
            <w:bottom w:val="none" w:sz="0" w:space="0" w:color="auto"/>
            <w:right w:val="none" w:sz="0" w:space="0" w:color="auto"/>
          </w:divBdr>
        </w:div>
        <w:div w:id="339041908">
          <w:marLeft w:val="0"/>
          <w:marRight w:val="0"/>
          <w:marTop w:val="0"/>
          <w:marBottom w:val="0"/>
          <w:divBdr>
            <w:top w:val="none" w:sz="0" w:space="0" w:color="auto"/>
            <w:left w:val="none" w:sz="0" w:space="0" w:color="auto"/>
            <w:bottom w:val="none" w:sz="0" w:space="0" w:color="auto"/>
            <w:right w:val="none" w:sz="0" w:space="0" w:color="auto"/>
          </w:divBdr>
        </w:div>
        <w:div w:id="789516283">
          <w:marLeft w:val="0"/>
          <w:marRight w:val="0"/>
          <w:marTop w:val="0"/>
          <w:marBottom w:val="0"/>
          <w:divBdr>
            <w:top w:val="none" w:sz="0" w:space="0" w:color="auto"/>
            <w:left w:val="none" w:sz="0" w:space="0" w:color="auto"/>
            <w:bottom w:val="none" w:sz="0" w:space="0" w:color="auto"/>
            <w:right w:val="none" w:sz="0" w:space="0" w:color="auto"/>
          </w:divBdr>
        </w:div>
        <w:div w:id="717507464">
          <w:marLeft w:val="0"/>
          <w:marRight w:val="0"/>
          <w:marTop w:val="0"/>
          <w:marBottom w:val="0"/>
          <w:divBdr>
            <w:top w:val="none" w:sz="0" w:space="0" w:color="auto"/>
            <w:left w:val="none" w:sz="0" w:space="0" w:color="auto"/>
            <w:bottom w:val="none" w:sz="0" w:space="0" w:color="auto"/>
            <w:right w:val="none" w:sz="0" w:space="0" w:color="auto"/>
          </w:divBdr>
        </w:div>
        <w:div w:id="1187325456">
          <w:marLeft w:val="0"/>
          <w:marRight w:val="0"/>
          <w:marTop w:val="0"/>
          <w:marBottom w:val="0"/>
          <w:divBdr>
            <w:top w:val="none" w:sz="0" w:space="0" w:color="auto"/>
            <w:left w:val="none" w:sz="0" w:space="0" w:color="auto"/>
            <w:bottom w:val="none" w:sz="0" w:space="0" w:color="auto"/>
            <w:right w:val="none" w:sz="0" w:space="0" w:color="auto"/>
          </w:divBdr>
        </w:div>
        <w:div w:id="1371757340">
          <w:marLeft w:val="0"/>
          <w:marRight w:val="0"/>
          <w:marTop w:val="0"/>
          <w:marBottom w:val="0"/>
          <w:divBdr>
            <w:top w:val="none" w:sz="0" w:space="0" w:color="auto"/>
            <w:left w:val="none" w:sz="0" w:space="0" w:color="auto"/>
            <w:bottom w:val="none" w:sz="0" w:space="0" w:color="auto"/>
            <w:right w:val="none" w:sz="0" w:space="0" w:color="auto"/>
          </w:divBdr>
        </w:div>
        <w:div w:id="1865555022">
          <w:marLeft w:val="0"/>
          <w:marRight w:val="0"/>
          <w:marTop w:val="0"/>
          <w:marBottom w:val="0"/>
          <w:divBdr>
            <w:top w:val="none" w:sz="0" w:space="0" w:color="auto"/>
            <w:left w:val="none" w:sz="0" w:space="0" w:color="auto"/>
            <w:bottom w:val="none" w:sz="0" w:space="0" w:color="auto"/>
            <w:right w:val="none" w:sz="0" w:space="0" w:color="auto"/>
          </w:divBdr>
        </w:div>
        <w:div w:id="1867790642">
          <w:marLeft w:val="0"/>
          <w:marRight w:val="0"/>
          <w:marTop w:val="0"/>
          <w:marBottom w:val="0"/>
          <w:divBdr>
            <w:top w:val="none" w:sz="0" w:space="0" w:color="auto"/>
            <w:left w:val="none" w:sz="0" w:space="0" w:color="auto"/>
            <w:bottom w:val="none" w:sz="0" w:space="0" w:color="auto"/>
            <w:right w:val="none" w:sz="0" w:space="0" w:color="auto"/>
          </w:divBdr>
        </w:div>
        <w:div w:id="1455976230">
          <w:marLeft w:val="0"/>
          <w:marRight w:val="0"/>
          <w:marTop w:val="0"/>
          <w:marBottom w:val="0"/>
          <w:divBdr>
            <w:top w:val="none" w:sz="0" w:space="0" w:color="auto"/>
            <w:left w:val="none" w:sz="0" w:space="0" w:color="auto"/>
            <w:bottom w:val="none" w:sz="0" w:space="0" w:color="auto"/>
            <w:right w:val="none" w:sz="0" w:space="0" w:color="auto"/>
          </w:divBdr>
        </w:div>
        <w:div w:id="650601863">
          <w:marLeft w:val="0"/>
          <w:marRight w:val="0"/>
          <w:marTop w:val="0"/>
          <w:marBottom w:val="0"/>
          <w:divBdr>
            <w:top w:val="none" w:sz="0" w:space="0" w:color="auto"/>
            <w:left w:val="none" w:sz="0" w:space="0" w:color="auto"/>
            <w:bottom w:val="none" w:sz="0" w:space="0" w:color="auto"/>
            <w:right w:val="none" w:sz="0" w:space="0" w:color="auto"/>
          </w:divBdr>
        </w:div>
        <w:div w:id="120004177">
          <w:marLeft w:val="0"/>
          <w:marRight w:val="0"/>
          <w:marTop w:val="0"/>
          <w:marBottom w:val="0"/>
          <w:divBdr>
            <w:top w:val="none" w:sz="0" w:space="0" w:color="auto"/>
            <w:left w:val="none" w:sz="0" w:space="0" w:color="auto"/>
            <w:bottom w:val="none" w:sz="0" w:space="0" w:color="auto"/>
            <w:right w:val="none" w:sz="0" w:space="0" w:color="auto"/>
          </w:divBdr>
        </w:div>
        <w:div w:id="710959180">
          <w:marLeft w:val="0"/>
          <w:marRight w:val="0"/>
          <w:marTop w:val="0"/>
          <w:marBottom w:val="0"/>
          <w:divBdr>
            <w:top w:val="none" w:sz="0" w:space="0" w:color="auto"/>
            <w:left w:val="none" w:sz="0" w:space="0" w:color="auto"/>
            <w:bottom w:val="none" w:sz="0" w:space="0" w:color="auto"/>
            <w:right w:val="none" w:sz="0" w:space="0" w:color="auto"/>
          </w:divBdr>
        </w:div>
        <w:div w:id="1928223429">
          <w:marLeft w:val="0"/>
          <w:marRight w:val="0"/>
          <w:marTop w:val="0"/>
          <w:marBottom w:val="0"/>
          <w:divBdr>
            <w:top w:val="none" w:sz="0" w:space="0" w:color="auto"/>
            <w:left w:val="none" w:sz="0" w:space="0" w:color="auto"/>
            <w:bottom w:val="none" w:sz="0" w:space="0" w:color="auto"/>
            <w:right w:val="none" w:sz="0" w:space="0" w:color="auto"/>
          </w:divBdr>
        </w:div>
        <w:div w:id="1290815733">
          <w:marLeft w:val="0"/>
          <w:marRight w:val="0"/>
          <w:marTop w:val="0"/>
          <w:marBottom w:val="0"/>
          <w:divBdr>
            <w:top w:val="none" w:sz="0" w:space="0" w:color="auto"/>
            <w:left w:val="none" w:sz="0" w:space="0" w:color="auto"/>
            <w:bottom w:val="none" w:sz="0" w:space="0" w:color="auto"/>
            <w:right w:val="none" w:sz="0" w:space="0" w:color="auto"/>
          </w:divBdr>
        </w:div>
        <w:div w:id="2052802160">
          <w:marLeft w:val="0"/>
          <w:marRight w:val="0"/>
          <w:marTop w:val="0"/>
          <w:marBottom w:val="0"/>
          <w:divBdr>
            <w:top w:val="none" w:sz="0" w:space="0" w:color="auto"/>
            <w:left w:val="none" w:sz="0" w:space="0" w:color="auto"/>
            <w:bottom w:val="none" w:sz="0" w:space="0" w:color="auto"/>
            <w:right w:val="none" w:sz="0" w:space="0" w:color="auto"/>
          </w:divBdr>
        </w:div>
        <w:div w:id="1382242895">
          <w:marLeft w:val="0"/>
          <w:marRight w:val="0"/>
          <w:marTop w:val="0"/>
          <w:marBottom w:val="0"/>
          <w:divBdr>
            <w:top w:val="none" w:sz="0" w:space="0" w:color="auto"/>
            <w:left w:val="none" w:sz="0" w:space="0" w:color="auto"/>
            <w:bottom w:val="none" w:sz="0" w:space="0" w:color="auto"/>
            <w:right w:val="none" w:sz="0" w:space="0" w:color="auto"/>
          </w:divBdr>
        </w:div>
        <w:div w:id="721901648">
          <w:marLeft w:val="0"/>
          <w:marRight w:val="0"/>
          <w:marTop w:val="0"/>
          <w:marBottom w:val="0"/>
          <w:divBdr>
            <w:top w:val="none" w:sz="0" w:space="0" w:color="auto"/>
            <w:left w:val="none" w:sz="0" w:space="0" w:color="auto"/>
            <w:bottom w:val="none" w:sz="0" w:space="0" w:color="auto"/>
            <w:right w:val="none" w:sz="0" w:space="0" w:color="auto"/>
          </w:divBdr>
        </w:div>
        <w:div w:id="615522343">
          <w:marLeft w:val="0"/>
          <w:marRight w:val="0"/>
          <w:marTop w:val="0"/>
          <w:marBottom w:val="0"/>
          <w:divBdr>
            <w:top w:val="none" w:sz="0" w:space="0" w:color="auto"/>
            <w:left w:val="none" w:sz="0" w:space="0" w:color="auto"/>
            <w:bottom w:val="none" w:sz="0" w:space="0" w:color="auto"/>
            <w:right w:val="none" w:sz="0" w:space="0" w:color="auto"/>
          </w:divBdr>
        </w:div>
        <w:div w:id="337460805">
          <w:marLeft w:val="0"/>
          <w:marRight w:val="0"/>
          <w:marTop w:val="0"/>
          <w:marBottom w:val="0"/>
          <w:divBdr>
            <w:top w:val="none" w:sz="0" w:space="0" w:color="auto"/>
            <w:left w:val="none" w:sz="0" w:space="0" w:color="auto"/>
            <w:bottom w:val="none" w:sz="0" w:space="0" w:color="auto"/>
            <w:right w:val="none" w:sz="0" w:space="0" w:color="auto"/>
          </w:divBdr>
        </w:div>
        <w:div w:id="1892419804">
          <w:marLeft w:val="0"/>
          <w:marRight w:val="0"/>
          <w:marTop w:val="0"/>
          <w:marBottom w:val="0"/>
          <w:divBdr>
            <w:top w:val="none" w:sz="0" w:space="0" w:color="auto"/>
            <w:left w:val="none" w:sz="0" w:space="0" w:color="auto"/>
            <w:bottom w:val="none" w:sz="0" w:space="0" w:color="auto"/>
            <w:right w:val="none" w:sz="0" w:space="0" w:color="auto"/>
          </w:divBdr>
        </w:div>
        <w:div w:id="1845589308">
          <w:marLeft w:val="0"/>
          <w:marRight w:val="0"/>
          <w:marTop w:val="0"/>
          <w:marBottom w:val="0"/>
          <w:divBdr>
            <w:top w:val="none" w:sz="0" w:space="0" w:color="auto"/>
            <w:left w:val="none" w:sz="0" w:space="0" w:color="auto"/>
            <w:bottom w:val="none" w:sz="0" w:space="0" w:color="auto"/>
            <w:right w:val="none" w:sz="0" w:space="0" w:color="auto"/>
          </w:divBdr>
        </w:div>
        <w:div w:id="681980456">
          <w:marLeft w:val="0"/>
          <w:marRight w:val="0"/>
          <w:marTop w:val="0"/>
          <w:marBottom w:val="0"/>
          <w:divBdr>
            <w:top w:val="none" w:sz="0" w:space="0" w:color="auto"/>
            <w:left w:val="none" w:sz="0" w:space="0" w:color="auto"/>
            <w:bottom w:val="none" w:sz="0" w:space="0" w:color="auto"/>
            <w:right w:val="none" w:sz="0" w:space="0" w:color="auto"/>
          </w:divBdr>
        </w:div>
        <w:div w:id="948076536">
          <w:marLeft w:val="0"/>
          <w:marRight w:val="0"/>
          <w:marTop w:val="0"/>
          <w:marBottom w:val="0"/>
          <w:divBdr>
            <w:top w:val="none" w:sz="0" w:space="0" w:color="auto"/>
            <w:left w:val="none" w:sz="0" w:space="0" w:color="auto"/>
            <w:bottom w:val="none" w:sz="0" w:space="0" w:color="auto"/>
            <w:right w:val="none" w:sz="0" w:space="0" w:color="auto"/>
          </w:divBdr>
        </w:div>
        <w:div w:id="1836415381">
          <w:marLeft w:val="0"/>
          <w:marRight w:val="0"/>
          <w:marTop w:val="0"/>
          <w:marBottom w:val="0"/>
          <w:divBdr>
            <w:top w:val="none" w:sz="0" w:space="0" w:color="auto"/>
            <w:left w:val="none" w:sz="0" w:space="0" w:color="auto"/>
            <w:bottom w:val="none" w:sz="0" w:space="0" w:color="auto"/>
            <w:right w:val="none" w:sz="0" w:space="0" w:color="auto"/>
          </w:divBdr>
        </w:div>
        <w:div w:id="1930699575">
          <w:marLeft w:val="0"/>
          <w:marRight w:val="0"/>
          <w:marTop w:val="0"/>
          <w:marBottom w:val="0"/>
          <w:divBdr>
            <w:top w:val="none" w:sz="0" w:space="0" w:color="auto"/>
            <w:left w:val="none" w:sz="0" w:space="0" w:color="auto"/>
            <w:bottom w:val="none" w:sz="0" w:space="0" w:color="auto"/>
            <w:right w:val="none" w:sz="0" w:space="0" w:color="auto"/>
          </w:divBdr>
        </w:div>
        <w:div w:id="399061201">
          <w:marLeft w:val="0"/>
          <w:marRight w:val="0"/>
          <w:marTop w:val="0"/>
          <w:marBottom w:val="0"/>
          <w:divBdr>
            <w:top w:val="none" w:sz="0" w:space="0" w:color="auto"/>
            <w:left w:val="none" w:sz="0" w:space="0" w:color="auto"/>
            <w:bottom w:val="none" w:sz="0" w:space="0" w:color="auto"/>
            <w:right w:val="none" w:sz="0" w:space="0" w:color="auto"/>
          </w:divBdr>
        </w:div>
        <w:div w:id="1407846603">
          <w:marLeft w:val="0"/>
          <w:marRight w:val="0"/>
          <w:marTop w:val="0"/>
          <w:marBottom w:val="0"/>
          <w:divBdr>
            <w:top w:val="none" w:sz="0" w:space="0" w:color="auto"/>
            <w:left w:val="none" w:sz="0" w:space="0" w:color="auto"/>
            <w:bottom w:val="none" w:sz="0" w:space="0" w:color="auto"/>
            <w:right w:val="none" w:sz="0" w:space="0" w:color="auto"/>
          </w:divBdr>
        </w:div>
        <w:div w:id="1700813285">
          <w:marLeft w:val="0"/>
          <w:marRight w:val="0"/>
          <w:marTop w:val="0"/>
          <w:marBottom w:val="0"/>
          <w:divBdr>
            <w:top w:val="none" w:sz="0" w:space="0" w:color="auto"/>
            <w:left w:val="none" w:sz="0" w:space="0" w:color="auto"/>
            <w:bottom w:val="none" w:sz="0" w:space="0" w:color="auto"/>
            <w:right w:val="none" w:sz="0" w:space="0" w:color="auto"/>
          </w:divBdr>
        </w:div>
        <w:div w:id="953245342">
          <w:marLeft w:val="0"/>
          <w:marRight w:val="0"/>
          <w:marTop w:val="0"/>
          <w:marBottom w:val="0"/>
          <w:divBdr>
            <w:top w:val="none" w:sz="0" w:space="0" w:color="auto"/>
            <w:left w:val="none" w:sz="0" w:space="0" w:color="auto"/>
            <w:bottom w:val="none" w:sz="0" w:space="0" w:color="auto"/>
            <w:right w:val="none" w:sz="0" w:space="0" w:color="auto"/>
          </w:divBdr>
        </w:div>
        <w:div w:id="1969581667">
          <w:marLeft w:val="0"/>
          <w:marRight w:val="0"/>
          <w:marTop w:val="0"/>
          <w:marBottom w:val="0"/>
          <w:divBdr>
            <w:top w:val="none" w:sz="0" w:space="0" w:color="auto"/>
            <w:left w:val="none" w:sz="0" w:space="0" w:color="auto"/>
            <w:bottom w:val="none" w:sz="0" w:space="0" w:color="auto"/>
            <w:right w:val="none" w:sz="0" w:space="0" w:color="auto"/>
          </w:divBdr>
        </w:div>
        <w:div w:id="1824544489">
          <w:marLeft w:val="0"/>
          <w:marRight w:val="0"/>
          <w:marTop w:val="0"/>
          <w:marBottom w:val="0"/>
          <w:divBdr>
            <w:top w:val="none" w:sz="0" w:space="0" w:color="auto"/>
            <w:left w:val="none" w:sz="0" w:space="0" w:color="auto"/>
            <w:bottom w:val="none" w:sz="0" w:space="0" w:color="auto"/>
            <w:right w:val="none" w:sz="0" w:space="0" w:color="auto"/>
          </w:divBdr>
        </w:div>
        <w:div w:id="1449474486">
          <w:marLeft w:val="0"/>
          <w:marRight w:val="0"/>
          <w:marTop w:val="0"/>
          <w:marBottom w:val="0"/>
          <w:divBdr>
            <w:top w:val="none" w:sz="0" w:space="0" w:color="auto"/>
            <w:left w:val="none" w:sz="0" w:space="0" w:color="auto"/>
            <w:bottom w:val="none" w:sz="0" w:space="0" w:color="auto"/>
            <w:right w:val="none" w:sz="0" w:space="0" w:color="auto"/>
          </w:divBdr>
        </w:div>
        <w:div w:id="201525019">
          <w:marLeft w:val="0"/>
          <w:marRight w:val="0"/>
          <w:marTop w:val="0"/>
          <w:marBottom w:val="0"/>
          <w:divBdr>
            <w:top w:val="none" w:sz="0" w:space="0" w:color="auto"/>
            <w:left w:val="none" w:sz="0" w:space="0" w:color="auto"/>
            <w:bottom w:val="none" w:sz="0" w:space="0" w:color="auto"/>
            <w:right w:val="none" w:sz="0" w:space="0" w:color="auto"/>
          </w:divBdr>
        </w:div>
        <w:div w:id="770516129">
          <w:marLeft w:val="0"/>
          <w:marRight w:val="0"/>
          <w:marTop w:val="0"/>
          <w:marBottom w:val="0"/>
          <w:divBdr>
            <w:top w:val="none" w:sz="0" w:space="0" w:color="auto"/>
            <w:left w:val="none" w:sz="0" w:space="0" w:color="auto"/>
            <w:bottom w:val="none" w:sz="0" w:space="0" w:color="auto"/>
            <w:right w:val="none" w:sz="0" w:space="0" w:color="auto"/>
          </w:divBdr>
        </w:div>
        <w:div w:id="973369007">
          <w:marLeft w:val="0"/>
          <w:marRight w:val="0"/>
          <w:marTop w:val="0"/>
          <w:marBottom w:val="0"/>
          <w:divBdr>
            <w:top w:val="none" w:sz="0" w:space="0" w:color="auto"/>
            <w:left w:val="none" w:sz="0" w:space="0" w:color="auto"/>
            <w:bottom w:val="none" w:sz="0" w:space="0" w:color="auto"/>
            <w:right w:val="none" w:sz="0" w:space="0" w:color="auto"/>
          </w:divBdr>
        </w:div>
        <w:div w:id="1599021959">
          <w:marLeft w:val="0"/>
          <w:marRight w:val="0"/>
          <w:marTop w:val="0"/>
          <w:marBottom w:val="0"/>
          <w:divBdr>
            <w:top w:val="none" w:sz="0" w:space="0" w:color="auto"/>
            <w:left w:val="none" w:sz="0" w:space="0" w:color="auto"/>
            <w:bottom w:val="none" w:sz="0" w:space="0" w:color="auto"/>
            <w:right w:val="none" w:sz="0" w:space="0" w:color="auto"/>
          </w:divBdr>
        </w:div>
        <w:div w:id="2118326992">
          <w:marLeft w:val="0"/>
          <w:marRight w:val="0"/>
          <w:marTop w:val="0"/>
          <w:marBottom w:val="0"/>
          <w:divBdr>
            <w:top w:val="none" w:sz="0" w:space="0" w:color="auto"/>
            <w:left w:val="none" w:sz="0" w:space="0" w:color="auto"/>
            <w:bottom w:val="none" w:sz="0" w:space="0" w:color="auto"/>
            <w:right w:val="none" w:sz="0" w:space="0" w:color="auto"/>
          </w:divBdr>
        </w:div>
        <w:div w:id="601375318">
          <w:marLeft w:val="0"/>
          <w:marRight w:val="0"/>
          <w:marTop w:val="0"/>
          <w:marBottom w:val="0"/>
          <w:divBdr>
            <w:top w:val="none" w:sz="0" w:space="0" w:color="auto"/>
            <w:left w:val="none" w:sz="0" w:space="0" w:color="auto"/>
            <w:bottom w:val="none" w:sz="0" w:space="0" w:color="auto"/>
            <w:right w:val="none" w:sz="0" w:space="0" w:color="auto"/>
          </w:divBdr>
        </w:div>
        <w:div w:id="1972050592">
          <w:marLeft w:val="0"/>
          <w:marRight w:val="0"/>
          <w:marTop w:val="0"/>
          <w:marBottom w:val="0"/>
          <w:divBdr>
            <w:top w:val="none" w:sz="0" w:space="0" w:color="auto"/>
            <w:left w:val="none" w:sz="0" w:space="0" w:color="auto"/>
            <w:bottom w:val="none" w:sz="0" w:space="0" w:color="auto"/>
            <w:right w:val="none" w:sz="0" w:space="0" w:color="auto"/>
          </w:divBdr>
        </w:div>
        <w:div w:id="1991399393">
          <w:marLeft w:val="0"/>
          <w:marRight w:val="0"/>
          <w:marTop w:val="0"/>
          <w:marBottom w:val="0"/>
          <w:divBdr>
            <w:top w:val="none" w:sz="0" w:space="0" w:color="auto"/>
            <w:left w:val="none" w:sz="0" w:space="0" w:color="auto"/>
            <w:bottom w:val="none" w:sz="0" w:space="0" w:color="auto"/>
            <w:right w:val="none" w:sz="0" w:space="0" w:color="auto"/>
          </w:divBdr>
        </w:div>
        <w:div w:id="1732583971">
          <w:marLeft w:val="0"/>
          <w:marRight w:val="0"/>
          <w:marTop w:val="0"/>
          <w:marBottom w:val="0"/>
          <w:divBdr>
            <w:top w:val="none" w:sz="0" w:space="0" w:color="auto"/>
            <w:left w:val="none" w:sz="0" w:space="0" w:color="auto"/>
            <w:bottom w:val="none" w:sz="0" w:space="0" w:color="auto"/>
            <w:right w:val="none" w:sz="0" w:space="0" w:color="auto"/>
          </w:divBdr>
        </w:div>
        <w:div w:id="510532890">
          <w:marLeft w:val="0"/>
          <w:marRight w:val="0"/>
          <w:marTop w:val="0"/>
          <w:marBottom w:val="0"/>
          <w:divBdr>
            <w:top w:val="none" w:sz="0" w:space="0" w:color="auto"/>
            <w:left w:val="none" w:sz="0" w:space="0" w:color="auto"/>
            <w:bottom w:val="none" w:sz="0" w:space="0" w:color="auto"/>
            <w:right w:val="none" w:sz="0" w:space="0" w:color="auto"/>
          </w:divBdr>
        </w:div>
        <w:div w:id="2020764937">
          <w:marLeft w:val="0"/>
          <w:marRight w:val="0"/>
          <w:marTop w:val="0"/>
          <w:marBottom w:val="0"/>
          <w:divBdr>
            <w:top w:val="none" w:sz="0" w:space="0" w:color="auto"/>
            <w:left w:val="none" w:sz="0" w:space="0" w:color="auto"/>
            <w:bottom w:val="none" w:sz="0" w:space="0" w:color="auto"/>
            <w:right w:val="none" w:sz="0" w:space="0" w:color="auto"/>
          </w:divBdr>
        </w:div>
        <w:div w:id="665596980">
          <w:marLeft w:val="0"/>
          <w:marRight w:val="0"/>
          <w:marTop w:val="0"/>
          <w:marBottom w:val="0"/>
          <w:divBdr>
            <w:top w:val="none" w:sz="0" w:space="0" w:color="auto"/>
            <w:left w:val="none" w:sz="0" w:space="0" w:color="auto"/>
            <w:bottom w:val="none" w:sz="0" w:space="0" w:color="auto"/>
            <w:right w:val="none" w:sz="0" w:space="0" w:color="auto"/>
          </w:divBdr>
        </w:div>
        <w:div w:id="1088690817">
          <w:marLeft w:val="0"/>
          <w:marRight w:val="0"/>
          <w:marTop w:val="0"/>
          <w:marBottom w:val="0"/>
          <w:divBdr>
            <w:top w:val="none" w:sz="0" w:space="0" w:color="auto"/>
            <w:left w:val="none" w:sz="0" w:space="0" w:color="auto"/>
            <w:bottom w:val="none" w:sz="0" w:space="0" w:color="auto"/>
            <w:right w:val="none" w:sz="0" w:space="0" w:color="auto"/>
          </w:divBdr>
        </w:div>
        <w:div w:id="1282998820">
          <w:marLeft w:val="0"/>
          <w:marRight w:val="0"/>
          <w:marTop w:val="0"/>
          <w:marBottom w:val="0"/>
          <w:divBdr>
            <w:top w:val="none" w:sz="0" w:space="0" w:color="auto"/>
            <w:left w:val="none" w:sz="0" w:space="0" w:color="auto"/>
            <w:bottom w:val="none" w:sz="0" w:space="0" w:color="auto"/>
            <w:right w:val="none" w:sz="0" w:space="0" w:color="auto"/>
          </w:divBdr>
        </w:div>
        <w:div w:id="412512187">
          <w:marLeft w:val="0"/>
          <w:marRight w:val="0"/>
          <w:marTop w:val="0"/>
          <w:marBottom w:val="0"/>
          <w:divBdr>
            <w:top w:val="none" w:sz="0" w:space="0" w:color="auto"/>
            <w:left w:val="none" w:sz="0" w:space="0" w:color="auto"/>
            <w:bottom w:val="none" w:sz="0" w:space="0" w:color="auto"/>
            <w:right w:val="none" w:sz="0" w:space="0" w:color="auto"/>
          </w:divBdr>
        </w:div>
        <w:div w:id="5329191">
          <w:marLeft w:val="0"/>
          <w:marRight w:val="0"/>
          <w:marTop w:val="0"/>
          <w:marBottom w:val="0"/>
          <w:divBdr>
            <w:top w:val="none" w:sz="0" w:space="0" w:color="auto"/>
            <w:left w:val="none" w:sz="0" w:space="0" w:color="auto"/>
            <w:bottom w:val="none" w:sz="0" w:space="0" w:color="auto"/>
            <w:right w:val="none" w:sz="0" w:space="0" w:color="auto"/>
          </w:divBdr>
        </w:div>
        <w:div w:id="1810973150">
          <w:marLeft w:val="0"/>
          <w:marRight w:val="0"/>
          <w:marTop w:val="0"/>
          <w:marBottom w:val="0"/>
          <w:divBdr>
            <w:top w:val="none" w:sz="0" w:space="0" w:color="auto"/>
            <w:left w:val="none" w:sz="0" w:space="0" w:color="auto"/>
            <w:bottom w:val="none" w:sz="0" w:space="0" w:color="auto"/>
            <w:right w:val="none" w:sz="0" w:space="0" w:color="auto"/>
          </w:divBdr>
        </w:div>
        <w:div w:id="1886484790">
          <w:marLeft w:val="0"/>
          <w:marRight w:val="0"/>
          <w:marTop w:val="0"/>
          <w:marBottom w:val="0"/>
          <w:divBdr>
            <w:top w:val="none" w:sz="0" w:space="0" w:color="auto"/>
            <w:left w:val="none" w:sz="0" w:space="0" w:color="auto"/>
            <w:bottom w:val="none" w:sz="0" w:space="0" w:color="auto"/>
            <w:right w:val="none" w:sz="0" w:space="0" w:color="auto"/>
          </w:divBdr>
        </w:div>
      </w:divsChild>
    </w:div>
    <w:div w:id="1464494550">
      <w:bodyDiv w:val="1"/>
      <w:marLeft w:val="0"/>
      <w:marRight w:val="0"/>
      <w:marTop w:val="0"/>
      <w:marBottom w:val="0"/>
      <w:divBdr>
        <w:top w:val="none" w:sz="0" w:space="0" w:color="auto"/>
        <w:left w:val="none" w:sz="0" w:space="0" w:color="auto"/>
        <w:bottom w:val="none" w:sz="0" w:space="0" w:color="auto"/>
        <w:right w:val="none" w:sz="0" w:space="0" w:color="auto"/>
      </w:divBdr>
      <w:divsChild>
        <w:div w:id="1750080660">
          <w:marLeft w:val="0"/>
          <w:marRight w:val="0"/>
          <w:marTop w:val="0"/>
          <w:marBottom w:val="0"/>
          <w:divBdr>
            <w:top w:val="none" w:sz="0" w:space="0" w:color="auto"/>
            <w:left w:val="none" w:sz="0" w:space="0" w:color="auto"/>
            <w:bottom w:val="none" w:sz="0" w:space="0" w:color="auto"/>
            <w:right w:val="none" w:sz="0" w:space="0" w:color="auto"/>
          </w:divBdr>
        </w:div>
        <w:div w:id="2048068546">
          <w:marLeft w:val="0"/>
          <w:marRight w:val="0"/>
          <w:marTop w:val="0"/>
          <w:marBottom w:val="0"/>
          <w:divBdr>
            <w:top w:val="none" w:sz="0" w:space="0" w:color="auto"/>
            <w:left w:val="none" w:sz="0" w:space="0" w:color="auto"/>
            <w:bottom w:val="none" w:sz="0" w:space="0" w:color="auto"/>
            <w:right w:val="none" w:sz="0" w:space="0" w:color="auto"/>
          </w:divBdr>
        </w:div>
        <w:div w:id="446240696">
          <w:marLeft w:val="0"/>
          <w:marRight w:val="0"/>
          <w:marTop w:val="0"/>
          <w:marBottom w:val="0"/>
          <w:divBdr>
            <w:top w:val="none" w:sz="0" w:space="0" w:color="auto"/>
            <w:left w:val="none" w:sz="0" w:space="0" w:color="auto"/>
            <w:bottom w:val="none" w:sz="0" w:space="0" w:color="auto"/>
            <w:right w:val="none" w:sz="0" w:space="0" w:color="auto"/>
          </w:divBdr>
        </w:div>
        <w:div w:id="2053916556">
          <w:marLeft w:val="0"/>
          <w:marRight w:val="0"/>
          <w:marTop w:val="0"/>
          <w:marBottom w:val="0"/>
          <w:divBdr>
            <w:top w:val="none" w:sz="0" w:space="0" w:color="auto"/>
            <w:left w:val="none" w:sz="0" w:space="0" w:color="auto"/>
            <w:bottom w:val="none" w:sz="0" w:space="0" w:color="auto"/>
            <w:right w:val="none" w:sz="0" w:space="0" w:color="auto"/>
          </w:divBdr>
        </w:div>
        <w:div w:id="1773279881">
          <w:marLeft w:val="0"/>
          <w:marRight w:val="0"/>
          <w:marTop w:val="0"/>
          <w:marBottom w:val="0"/>
          <w:divBdr>
            <w:top w:val="none" w:sz="0" w:space="0" w:color="auto"/>
            <w:left w:val="none" w:sz="0" w:space="0" w:color="auto"/>
            <w:bottom w:val="none" w:sz="0" w:space="0" w:color="auto"/>
            <w:right w:val="none" w:sz="0" w:space="0" w:color="auto"/>
          </w:divBdr>
        </w:div>
        <w:div w:id="2038500576">
          <w:marLeft w:val="0"/>
          <w:marRight w:val="0"/>
          <w:marTop w:val="0"/>
          <w:marBottom w:val="0"/>
          <w:divBdr>
            <w:top w:val="none" w:sz="0" w:space="0" w:color="auto"/>
            <w:left w:val="none" w:sz="0" w:space="0" w:color="auto"/>
            <w:bottom w:val="none" w:sz="0" w:space="0" w:color="auto"/>
            <w:right w:val="none" w:sz="0" w:space="0" w:color="auto"/>
          </w:divBdr>
        </w:div>
        <w:div w:id="109324703">
          <w:marLeft w:val="0"/>
          <w:marRight w:val="0"/>
          <w:marTop w:val="0"/>
          <w:marBottom w:val="0"/>
          <w:divBdr>
            <w:top w:val="none" w:sz="0" w:space="0" w:color="auto"/>
            <w:left w:val="none" w:sz="0" w:space="0" w:color="auto"/>
            <w:bottom w:val="none" w:sz="0" w:space="0" w:color="auto"/>
            <w:right w:val="none" w:sz="0" w:space="0" w:color="auto"/>
          </w:divBdr>
        </w:div>
        <w:div w:id="1095321890">
          <w:marLeft w:val="0"/>
          <w:marRight w:val="0"/>
          <w:marTop w:val="0"/>
          <w:marBottom w:val="0"/>
          <w:divBdr>
            <w:top w:val="none" w:sz="0" w:space="0" w:color="auto"/>
            <w:left w:val="none" w:sz="0" w:space="0" w:color="auto"/>
            <w:bottom w:val="none" w:sz="0" w:space="0" w:color="auto"/>
            <w:right w:val="none" w:sz="0" w:space="0" w:color="auto"/>
          </w:divBdr>
        </w:div>
        <w:div w:id="1135215161">
          <w:marLeft w:val="0"/>
          <w:marRight w:val="0"/>
          <w:marTop w:val="0"/>
          <w:marBottom w:val="0"/>
          <w:divBdr>
            <w:top w:val="none" w:sz="0" w:space="0" w:color="auto"/>
            <w:left w:val="none" w:sz="0" w:space="0" w:color="auto"/>
            <w:bottom w:val="none" w:sz="0" w:space="0" w:color="auto"/>
            <w:right w:val="none" w:sz="0" w:space="0" w:color="auto"/>
          </w:divBdr>
        </w:div>
        <w:div w:id="1001616398">
          <w:marLeft w:val="0"/>
          <w:marRight w:val="0"/>
          <w:marTop w:val="0"/>
          <w:marBottom w:val="0"/>
          <w:divBdr>
            <w:top w:val="none" w:sz="0" w:space="0" w:color="auto"/>
            <w:left w:val="none" w:sz="0" w:space="0" w:color="auto"/>
            <w:bottom w:val="none" w:sz="0" w:space="0" w:color="auto"/>
            <w:right w:val="none" w:sz="0" w:space="0" w:color="auto"/>
          </w:divBdr>
        </w:div>
        <w:div w:id="1795174578">
          <w:marLeft w:val="0"/>
          <w:marRight w:val="0"/>
          <w:marTop w:val="0"/>
          <w:marBottom w:val="0"/>
          <w:divBdr>
            <w:top w:val="none" w:sz="0" w:space="0" w:color="auto"/>
            <w:left w:val="none" w:sz="0" w:space="0" w:color="auto"/>
            <w:bottom w:val="none" w:sz="0" w:space="0" w:color="auto"/>
            <w:right w:val="none" w:sz="0" w:space="0" w:color="auto"/>
          </w:divBdr>
        </w:div>
        <w:div w:id="901251647">
          <w:marLeft w:val="0"/>
          <w:marRight w:val="0"/>
          <w:marTop w:val="0"/>
          <w:marBottom w:val="0"/>
          <w:divBdr>
            <w:top w:val="none" w:sz="0" w:space="0" w:color="auto"/>
            <w:left w:val="none" w:sz="0" w:space="0" w:color="auto"/>
            <w:bottom w:val="none" w:sz="0" w:space="0" w:color="auto"/>
            <w:right w:val="none" w:sz="0" w:space="0" w:color="auto"/>
          </w:divBdr>
        </w:div>
        <w:div w:id="1157766445">
          <w:marLeft w:val="0"/>
          <w:marRight w:val="0"/>
          <w:marTop w:val="0"/>
          <w:marBottom w:val="0"/>
          <w:divBdr>
            <w:top w:val="none" w:sz="0" w:space="0" w:color="auto"/>
            <w:left w:val="none" w:sz="0" w:space="0" w:color="auto"/>
            <w:bottom w:val="none" w:sz="0" w:space="0" w:color="auto"/>
            <w:right w:val="none" w:sz="0" w:space="0" w:color="auto"/>
          </w:divBdr>
        </w:div>
        <w:div w:id="1497763978">
          <w:marLeft w:val="0"/>
          <w:marRight w:val="0"/>
          <w:marTop w:val="0"/>
          <w:marBottom w:val="0"/>
          <w:divBdr>
            <w:top w:val="none" w:sz="0" w:space="0" w:color="auto"/>
            <w:left w:val="none" w:sz="0" w:space="0" w:color="auto"/>
            <w:bottom w:val="none" w:sz="0" w:space="0" w:color="auto"/>
            <w:right w:val="none" w:sz="0" w:space="0" w:color="auto"/>
          </w:divBdr>
        </w:div>
        <w:div w:id="2142380646">
          <w:marLeft w:val="0"/>
          <w:marRight w:val="0"/>
          <w:marTop w:val="0"/>
          <w:marBottom w:val="0"/>
          <w:divBdr>
            <w:top w:val="none" w:sz="0" w:space="0" w:color="auto"/>
            <w:left w:val="none" w:sz="0" w:space="0" w:color="auto"/>
            <w:bottom w:val="none" w:sz="0" w:space="0" w:color="auto"/>
            <w:right w:val="none" w:sz="0" w:space="0" w:color="auto"/>
          </w:divBdr>
        </w:div>
        <w:div w:id="624969349">
          <w:marLeft w:val="0"/>
          <w:marRight w:val="0"/>
          <w:marTop w:val="0"/>
          <w:marBottom w:val="0"/>
          <w:divBdr>
            <w:top w:val="none" w:sz="0" w:space="0" w:color="auto"/>
            <w:left w:val="none" w:sz="0" w:space="0" w:color="auto"/>
            <w:bottom w:val="none" w:sz="0" w:space="0" w:color="auto"/>
            <w:right w:val="none" w:sz="0" w:space="0" w:color="auto"/>
          </w:divBdr>
        </w:div>
        <w:div w:id="39525220">
          <w:marLeft w:val="0"/>
          <w:marRight w:val="0"/>
          <w:marTop w:val="0"/>
          <w:marBottom w:val="0"/>
          <w:divBdr>
            <w:top w:val="none" w:sz="0" w:space="0" w:color="auto"/>
            <w:left w:val="none" w:sz="0" w:space="0" w:color="auto"/>
            <w:bottom w:val="none" w:sz="0" w:space="0" w:color="auto"/>
            <w:right w:val="none" w:sz="0" w:space="0" w:color="auto"/>
          </w:divBdr>
        </w:div>
        <w:div w:id="1267613337">
          <w:marLeft w:val="0"/>
          <w:marRight w:val="0"/>
          <w:marTop w:val="0"/>
          <w:marBottom w:val="0"/>
          <w:divBdr>
            <w:top w:val="none" w:sz="0" w:space="0" w:color="auto"/>
            <w:left w:val="none" w:sz="0" w:space="0" w:color="auto"/>
            <w:bottom w:val="none" w:sz="0" w:space="0" w:color="auto"/>
            <w:right w:val="none" w:sz="0" w:space="0" w:color="auto"/>
          </w:divBdr>
        </w:div>
        <w:div w:id="283849949">
          <w:marLeft w:val="0"/>
          <w:marRight w:val="0"/>
          <w:marTop w:val="0"/>
          <w:marBottom w:val="0"/>
          <w:divBdr>
            <w:top w:val="none" w:sz="0" w:space="0" w:color="auto"/>
            <w:left w:val="none" w:sz="0" w:space="0" w:color="auto"/>
            <w:bottom w:val="none" w:sz="0" w:space="0" w:color="auto"/>
            <w:right w:val="none" w:sz="0" w:space="0" w:color="auto"/>
          </w:divBdr>
        </w:div>
        <w:div w:id="621426070">
          <w:marLeft w:val="0"/>
          <w:marRight w:val="0"/>
          <w:marTop w:val="0"/>
          <w:marBottom w:val="0"/>
          <w:divBdr>
            <w:top w:val="none" w:sz="0" w:space="0" w:color="auto"/>
            <w:left w:val="none" w:sz="0" w:space="0" w:color="auto"/>
            <w:bottom w:val="none" w:sz="0" w:space="0" w:color="auto"/>
            <w:right w:val="none" w:sz="0" w:space="0" w:color="auto"/>
          </w:divBdr>
        </w:div>
        <w:div w:id="1413235165">
          <w:marLeft w:val="0"/>
          <w:marRight w:val="0"/>
          <w:marTop w:val="0"/>
          <w:marBottom w:val="0"/>
          <w:divBdr>
            <w:top w:val="none" w:sz="0" w:space="0" w:color="auto"/>
            <w:left w:val="none" w:sz="0" w:space="0" w:color="auto"/>
            <w:bottom w:val="none" w:sz="0" w:space="0" w:color="auto"/>
            <w:right w:val="none" w:sz="0" w:space="0" w:color="auto"/>
          </w:divBdr>
        </w:div>
        <w:div w:id="1214006394">
          <w:marLeft w:val="0"/>
          <w:marRight w:val="0"/>
          <w:marTop w:val="0"/>
          <w:marBottom w:val="0"/>
          <w:divBdr>
            <w:top w:val="none" w:sz="0" w:space="0" w:color="auto"/>
            <w:left w:val="none" w:sz="0" w:space="0" w:color="auto"/>
            <w:bottom w:val="none" w:sz="0" w:space="0" w:color="auto"/>
            <w:right w:val="none" w:sz="0" w:space="0" w:color="auto"/>
          </w:divBdr>
        </w:div>
        <w:div w:id="443229321">
          <w:marLeft w:val="0"/>
          <w:marRight w:val="0"/>
          <w:marTop w:val="0"/>
          <w:marBottom w:val="0"/>
          <w:divBdr>
            <w:top w:val="none" w:sz="0" w:space="0" w:color="auto"/>
            <w:left w:val="none" w:sz="0" w:space="0" w:color="auto"/>
            <w:bottom w:val="none" w:sz="0" w:space="0" w:color="auto"/>
            <w:right w:val="none" w:sz="0" w:space="0" w:color="auto"/>
          </w:divBdr>
        </w:div>
        <w:div w:id="793602067">
          <w:marLeft w:val="0"/>
          <w:marRight w:val="0"/>
          <w:marTop w:val="0"/>
          <w:marBottom w:val="0"/>
          <w:divBdr>
            <w:top w:val="none" w:sz="0" w:space="0" w:color="auto"/>
            <w:left w:val="none" w:sz="0" w:space="0" w:color="auto"/>
            <w:bottom w:val="none" w:sz="0" w:space="0" w:color="auto"/>
            <w:right w:val="none" w:sz="0" w:space="0" w:color="auto"/>
          </w:divBdr>
        </w:div>
        <w:div w:id="920220311">
          <w:marLeft w:val="0"/>
          <w:marRight w:val="0"/>
          <w:marTop w:val="0"/>
          <w:marBottom w:val="0"/>
          <w:divBdr>
            <w:top w:val="none" w:sz="0" w:space="0" w:color="auto"/>
            <w:left w:val="none" w:sz="0" w:space="0" w:color="auto"/>
            <w:bottom w:val="none" w:sz="0" w:space="0" w:color="auto"/>
            <w:right w:val="none" w:sz="0" w:space="0" w:color="auto"/>
          </w:divBdr>
        </w:div>
        <w:div w:id="1113673051">
          <w:marLeft w:val="0"/>
          <w:marRight w:val="0"/>
          <w:marTop w:val="0"/>
          <w:marBottom w:val="0"/>
          <w:divBdr>
            <w:top w:val="none" w:sz="0" w:space="0" w:color="auto"/>
            <w:left w:val="none" w:sz="0" w:space="0" w:color="auto"/>
            <w:bottom w:val="none" w:sz="0" w:space="0" w:color="auto"/>
            <w:right w:val="none" w:sz="0" w:space="0" w:color="auto"/>
          </w:divBdr>
        </w:div>
        <w:div w:id="982739882">
          <w:marLeft w:val="0"/>
          <w:marRight w:val="0"/>
          <w:marTop w:val="0"/>
          <w:marBottom w:val="0"/>
          <w:divBdr>
            <w:top w:val="none" w:sz="0" w:space="0" w:color="auto"/>
            <w:left w:val="none" w:sz="0" w:space="0" w:color="auto"/>
            <w:bottom w:val="none" w:sz="0" w:space="0" w:color="auto"/>
            <w:right w:val="none" w:sz="0" w:space="0" w:color="auto"/>
          </w:divBdr>
        </w:div>
        <w:div w:id="2133397109">
          <w:marLeft w:val="0"/>
          <w:marRight w:val="0"/>
          <w:marTop w:val="0"/>
          <w:marBottom w:val="0"/>
          <w:divBdr>
            <w:top w:val="none" w:sz="0" w:space="0" w:color="auto"/>
            <w:left w:val="none" w:sz="0" w:space="0" w:color="auto"/>
            <w:bottom w:val="none" w:sz="0" w:space="0" w:color="auto"/>
            <w:right w:val="none" w:sz="0" w:space="0" w:color="auto"/>
          </w:divBdr>
        </w:div>
        <w:div w:id="829060461">
          <w:marLeft w:val="0"/>
          <w:marRight w:val="0"/>
          <w:marTop w:val="0"/>
          <w:marBottom w:val="0"/>
          <w:divBdr>
            <w:top w:val="none" w:sz="0" w:space="0" w:color="auto"/>
            <w:left w:val="none" w:sz="0" w:space="0" w:color="auto"/>
            <w:bottom w:val="none" w:sz="0" w:space="0" w:color="auto"/>
            <w:right w:val="none" w:sz="0" w:space="0" w:color="auto"/>
          </w:divBdr>
        </w:div>
        <w:div w:id="2008630439">
          <w:marLeft w:val="0"/>
          <w:marRight w:val="0"/>
          <w:marTop w:val="0"/>
          <w:marBottom w:val="0"/>
          <w:divBdr>
            <w:top w:val="none" w:sz="0" w:space="0" w:color="auto"/>
            <w:left w:val="none" w:sz="0" w:space="0" w:color="auto"/>
            <w:bottom w:val="none" w:sz="0" w:space="0" w:color="auto"/>
            <w:right w:val="none" w:sz="0" w:space="0" w:color="auto"/>
          </w:divBdr>
        </w:div>
        <w:div w:id="1140853185">
          <w:marLeft w:val="0"/>
          <w:marRight w:val="0"/>
          <w:marTop w:val="0"/>
          <w:marBottom w:val="0"/>
          <w:divBdr>
            <w:top w:val="none" w:sz="0" w:space="0" w:color="auto"/>
            <w:left w:val="none" w:sz="0" w:space="0" w:color="auto"/>
            <w:bottom w:val="none" w:sz="0" w:space="0" w:color="auto"/>
            <w:right w:val="none" w:sz="0" w:space="0" w:color="auto"/>
          </w:divBdr>
        </w:div>
        <w:div w:id="850804717">
          <w:marLeft w:val="0"/>
          <w:marRight w:val="0"/>
          <w:marTop w:val="0"/>
          <w:marBottom w:val="0"/>
          <w:divBdr>
            <w:top w:val="none" w:sz="0" w:space="0" w:color="auto"/>
            <w:left w:val="none" w:sz="0" w:space="0" w:color="auto"/>
            <w:bottom w:val="none" w:sz="0" w:space="0" w:color="auto"/>
            <w:right w:val="none" w:sz="0" w:space="0" w:color="auto"/>
          </w:divBdr>
        </w:div>
        <w:div w:id="2070685990">
          <w:marLeft w:val="0"/>
          <w:marRight w:val="0"/>
          <w:marTop w:val="0"/>
          <w:marBottom w:val="0"/>
          <w:divBdr>
            <w:top w:val="none" w:sz="0" w:space="0" w:color="auto"/>
            <w:left w:val="none" w:sz="0" w:space="0" w:color="auto"/>
            <w:bottom w:val="none" w:sz="0" w:space="0" w:color="auto"/>
            <w:right w:val="none" w:sz="0" w:space="0" w:color="auto"/>
          </w:divBdr>
        </w:div>
        <w:div w:id="433207692">
          <w:marLeft w:val="0"/>
          <w:marRight w:val="0"/>
          <w:marTop w:val="0"/>
          <w:marBottom w:val="0"/>
          <w:divBdr>
            <w:top w:val="none" w:sz="0" w:space="0" w:color="auto"/>
            <w:left w:val="none" w:sz="0" w:space="0" w:color="auto"/>
            <w:bottom w:val="none" w:sz="0" w:space="0" w:color="auto"/>
            <w:right w:val="none" w:sz="0" w:space="0" w:color="auto"/>
          </w:divBdr>
        </w:div>
        <w:div w:id="1506359220">
          <w:marLeft w:val="0"/>
          <w:marRight w:val="0"/>
          <w:marTop w:val="0"/>
          <w:marBottom w:val="0"/>
          <w:divBdr>
            <w:top w:val="none" w:sz="0" w:space="0" w:color="auto"/>
            <w:left w:val="none" w:sz="0" w:space="0" w:color="auto"/>
            <w:bottom w:val="none" w:sz="0" w:space="0" w:color="auto"/>
            <w:right w:val="none" w:sz="0" w:space="0" w:color="auto"/>
          </w:divBdr>
        </w:div>
        <w:div w:id="2049066095">
          <w:marLeft w:val="0"/>
          <w:marRight w:val="0"/>
          <w:marTop w:val="0"/>
          <w:marBottom w:val="0"/>
          <w:divBdr>
            <w:top w:val="none" w:sz="0" w:space="0" w:color="auto"/>
            <w:left w:val="none" w:sz="0" w:space="0" w:color="auto"/>
            <w:bottom w:val="none" w:sz="0" w:space="0" w:color="auto"/>
            <w:right w:val="none" w:sz="0" w:space="0" w:color="auto"/>
          </w:divBdr>
        </w:div>
        <w:div w:id="1954512462">
          <w:marLeft w:val="0"/>
          <w:marRight w:val="0"/>
          <w:marTop w:val="0"/>
          <w:marBottom w:val="0"/>
          <w:divBdr>
            <w:top w:val="none" w:sz="0" w:space="0" w:color="auto"/>
            <w:left w:val="none" w:sz="0" w:space="0" w:color="auto"/>
            <w:bottom w:val="none" w:sz="0" w:space="0" w:color="auto"/>
            <w:right w:val="none" w:sz="0" w:space="0" w:color="auto"/>
          </w:divBdr>
        </w:div>
        <w:div w:id="814759352">
          <w:marLeft w:val="0"/>
          <w:marRight w:val="0"/>
          <w:marTop w:val="0"/>
          <w:marBottom w:val="0"/>
          <w:divBdr>
            <w:top w:val="none" w:sz="0" w:space="0" w:color="auto"/>
            <w:left w:val="none" w:sz="0" w:space="0" w:color="auto"/>
            <w:bottom w:val="none" w:sz="0" w:space="0" w:color="auto"/>
            <w:right w:val="none" w:sz="0" w:space="0" w:color="auto"/>
          </w:divBdr>
        </w:div>
        <w:div w:id="1186821089">
          <w:marLeft w:val="0"/>
          <w:marRight w:val="0"/>
          <w:marTop w:val="0"/>
          <w:marBottom w:val="0"/>
          <w:divBdr>
            <w:top w:val="none" w:sz="0" w:space="0" w:color="auto"/>
            <w:left w:val="none" w:sz="0" w:space="0" w:color="auto"/>
            <w:bottom w:val="none" w:sz="0" w:space="0" w:color="auto"/>
            <w:right w:val="none" w:sz="0" w:space="0" w:color="auto"/>
          </w:divBdr>
        </w:div>
        <w:div w:id="990642660">
          <w:marLeft w:val="0"/>
          <w:marRight w:val="0"/>
          <w:marTop w:val="0"/>
          <w:marBottom w:val="0"/>
          <w:divBdr>
            <w:top w:val="none" w:sz="0" w:space="0" w:color="auto"/>
            <w:left w:val="none" w:sz="0" w:space="0" w:color="auto"/>
            <w:bottom w:val="none" w:sz="0" w:space="0" w:color="auto"/>
            <w:right w:val="none" w:sz="0" w:space="0" w:color="auto"/>
          </w:divBdr>
        </w:div>
        <w:div w:id="525607761">
          <w:marLeft w:val="0"/>
          <w:marRight w:val="0"/>
          <w:marTop w:val="0"/>
          <w:marBottom w:val="0"/>
          <w:divBdr>
            <w:top w:val="none" w:sz="0" w:space="0" w:color="auto"/>
            <w:left w:val="none" w:sz="0" w:space="0" w:color="auto"/>
            <w:bottom w:val="none" w:sz="0" w:space="0" w:color="auto"/>
            <w:right w:val="none" w:sz="0" w:space="0" w:color="auto"/>
          </w:divBdr>
        </w:div>
        <w:div w:id="1690521081">
          <w:marLeft w:val="0"/>
          <w:marRight w:val="0"/>
          <w:marTop w:val="0"/>
          <w:marBottom w:val="0"/>
          <w:divBdr>
            <w:top w:val="none" w:sz="0" w:space="0" w:color="auto"/>
            <w:left w:val="none" w:sz="0" w:space="0" w:color="auto"/>
            <w:bottom w:val="none" w:sz="0" w:space="0" w:color="auto"/>
            <w:right w:val="none" w:sz="0" w:space="0" w:color="auto"/>
          </w:divBdr>
        </w:div>
        <w:div w:id="1643385811">
          <w:marLeft w:val="0"/>
          <w:marRight w:val="0"/>
          <w:marTop w:val="0"/>
          <w:marBottom w:val="0"/>
          <w:divBdr>
            <w:top w:val="none" w:sz="0" w:space="0" w:color="auto"/>
            <w:left w:val="none" w:sz="0" w:space="0" w:color="auto"/>
            <w:bottom w:val="none" w:sz="0" w:space="0" w:color="auto"/>
            <w:right w:val="none" w:sz="0" w:space="0" w:color="auto"/>
          </w:divBdr>
        </w:div>
        <w:div w:id="370571569">
          <w:marLeft w:val="0"/>
          <w:marRight w:val="0"/>
          <w:marTop w:val="0"/>
          <w:marBottom w:val="0"/>
          <w:divBdr>
            <w:top w:val="none" w:sz="0" w:space="0" w:color="auto"/>
            <w:left w:val="none" w:sz="0" w:space="0" w:color="auto"/>
            <w:bottom w:val="none" w:sz="0" w:space="0" w:color="auto"/>
            <w:right w:val="none" w:sz="0" w:space="0" w:color="auto"/>
          </w:divBdr>
        </w:div>
        <w:div w:id="1717586453">
          <w:marLeft w:val="0"/>
          <w:marRight w:val="0"/>
          <w:marTop w:val="0"/>
          <w:marBottom w:val="0"/>
          <w:divBdr>
            <w:top w:val="none" w:sz="0" w:space="0" w:color="auto"/>
            <w:left w:val="none" w:sz="0" w:space="0" w:color="auto"/>
            <w:bottom w:val="none" w:sz="0" w:space="0" w:color="auto"/>
            <w:right w:val="none" w:sz="0" w:space="0" w:color="auto"/>
          </w:divBdr>
        </w:div>
        <w:div w:id="577252087">
          <w:marLeft w:val="0"/>
          <w:marRight w:val="0"/>
          <w:marTop w:val="0"/>
          <w:marBottom w:val="0"/>
          <w:divBdr>
            <w:top w:val="none" w:sz="0" w:space="0" w:color="auto"/>
            <w:left w:val="none" w:sz="0" w:space="0" w:color="auto"/>
            <w:bottom w:val="none" w:sz="0" w:space="0" w:color="auto"/>
            <w:right w:val="none" w:sz="0" w:space="0" w:color="auto"/>
          </w:divBdr>
        </w:div>
        <w:div w:id="1534801908">
          <w:marLeft w:val="0"/>
          <w:marRight w:val="0"/>
          <w:marTop w:val="0"/>
          <w:marBottom w:val="0"/>
          <w:divBdr>
            <w:top w:val="none" w:sz="0" w:space="0" w:color="auto"/>
            <w:left w:val="none" w:sz="0" w:space="0" w:color="auto"/>
            <w:bottom w:val="none" w:sz="0" w:space="0" w:color="auto"/>
            <w:right w:val="none" w:sz="0" w:space="0" w:color="auto"/>
          </w:divBdr>
        </w:div>
        <w:div w:id="654845624">
          <w:marLeft w:val="0"/>
          <w:marRight w:val="0"/>
          <w:marTop w:val="0"/>
          <w:marBottom w:val="0"/>
          <w:divBdr>
            <w:top w:val="none" w:sz="0" w:space="0" w:color="auto"/>
            <w:left w:val="none" w:sz="0" w:space="0" w:color="auto"/>
            <w:bottom w:val="none" w:sz="0" w:space="0" w:color="auto"/>
            <w:right w:val="none" w:sz="0" w:space="0" w:color="auto"/>
          </w:divBdr>
        </w:div>
        <w:div w:id="1928882147">
          <w:marLeft w:val="0"/>
          <w:marRight w:val="0"/>
          <w:marTop w:val="0"/>
          <w:marBottom w:val="0"/>
          <w:divBdr>
            <w:top w:val="none" w:sz="0" w:space="0" w:color="auto"/>
            <w:left w:val="none" w:sz="0" w:space="0" w:color="auto"/>
            <w:bottom w:val="none" w:sz="0" w:space="0" w:color="auto"/>
            <w:right w:val="none" w:sz="0" w:space="0" w:color="auto"/>
          </w:divBdr>
        </w:div>
        <w:div w:id="230626903">
          <w:marLeft w:val="0"/>
          <w:marRight w:val="0"/>
          <w:marTop w:val="0"/>
          <w:marBottom w:val="0"/>
          <w:divBdr>
            <w:top w:val="none" w:sz="0" w:space="0" w:color="auto"/>
            <w:left w:val="none" w:sz="0" w:space="0" w:color="auto"/>
            <w:bottom w:val="none" w:sz="0" w:space="0" w:color="auto"/>
            <w:right w:val="none" w:sz="0" w:space="0" w:color="auto"/>
          </w:divBdr>
        </w:div>
        <w:div w:id="191766571">
          <w:marLeft w:val="0"/>
          <w:marRight w:val="0"/>
          <w:marTop w:val="0"/>
          <w:marBottom w:val="0"/>
          <w:divBdr>
            <w:top w:val="none" w:sz="0" w:space="0" w:color="auto"/>
            <w:left w:val="none" w:sz="0" w:space="0" w:color="auto"/>
            <w:bottom w:val="none" w:sz="0" w:space="0" w:color="auto"/>
            <w:right w:val="none" w:sz="0" w:space="0" w:color="auto"/>
          </w:divBdr>
        </w:div>
        <w:div w:id="378827443">
          <w:marLeft w:val="0"/>
          <w:marRight w:val="0"/>
          <w:marTop w:val="0"/>
          <w:marBottom w:val="0"/>
          <w:divBdr>
            <w:top w:val="none" w:sz="0" w:space="0" w:color="auto"/>
            <w:left w:val="none" w:sz="0" w:space="0" w:color="auto"/>
            <w:bottom w:val="none" w:sz="0" w:space="0" w:color="auto"/>
            <w:right w:val="none" w:sz="0" w:space="0" w:color="auto"/>
          </w:divBdr>
        </w:div>
        <w:div w:id="1553617594">
          <w:marLeft w:val="0"/>
          <w:marRight w:val="0"/>
          <w:marTop w:val="0"/>
          <w:marBottom w:val="0"/>
          <w:divBdr>
            <w:top w:val="none" w:sz="0" w:space="0" w:color="auto"/>
            <w:left w:val="none" w:sz="0" w:space="0" w:color="auto"/>
            <w:bottom w:val="none" w:sz="0" w:space="0" w:color="auto"/>
            <w:right w:val="none" w:sz="0" w:space="0" w:color="auto"/>
          </w:divBdr>
        </w:div>
        <w:div w:id="1410663339">
          <w:marLeft w:val="0"/>
          <w:marRight w:val="0"/>
          <w:marTop w:val="0"/>
          <w:marBottom w:val="0"/>
          <w:divBdr>
            <w:top w:val="none" w:sz="0" w:space="0" w:color="auto"/>
            <w:left w:val="none" w:sz="0" w:space="0" w:color="auto"/>
            <w:bottom w:val="none" w:sz="0" w:space="0" w:color="auto"/>
            <w:right w:val="none" w:sz="0" w:space="0" w:color="auto"/>
          </w:divBdr>
        </w:div>
        <w:div w:id="1001815591">
          <w:marLeft w:val="0"/>
          <w:marRight w:val="0"/>
          <w:marTop w:val="0"/>
          <w:marBottom w:val="0"/>
          <w:divBdr>
            <w:top w:val="none" w:sz="0" w:space="0" w:color="auto"/>
            <w:left w:val="none" w:sz="0" w:space="0" w:color="auto"/>
            <w:bottom w:val="none" w:sz="0" w:space="0" w:color="auto"/>
            <w:right w:val="none" w:sz="0" w:space="0" w:color="auto"/>
          </w:divBdr>
        </w:div>
        <w:div w:id="1533961616">
          <w:marLeft w:val="0"/>
          <w:marRight w:val="0"/>
          <w:marTop w:val="0"/>
          <w:marBottom w:val="0"/>
          <w:divBdr>
            <w:top w:val="none" w:sz="0" w:space="0" w:color="auto"/>
            <w:left w:val="none" w:sz="0" w:space="0" w:color="auto"/>
            <w:bottom w:val="none" w:sz="0" w:space="0" w:color="auto"/>
            <w:right w:val="none" w:sz="0" w:space="0" w:color="auto"/>
          </w:divBdr>
        </w:div>
        <w:div w:id="1688554887">
          <w:marLeft w:val="0"/>
          <w:marRight w:val="0"/>
          <w:marTop w:val="0"/>
          <w:marBottom w:val="0"/>
          <w:divBdr>
            <w:top w:val="none" w:sz="0" w:space="0" w:color="auto"/>
            <w:left w:val="none" w:sz="0" w:space="0" w:color="auto"/>
            <w:bottom w:val="none" w:sz="0" w:space="0" w:color="auto"/>
            <w:right w:val="none" w:sz="0" w:space="0" w:color="auto"/>
          </w:divBdr>
        </w:div>
        <w:div w:id="1103771161">
          <w:marLeft w:val="0"/>
          <w:marRight w:val="0"/>
          <w:marTop w:val="0"/>
          <w:marBottom w:val="0"/>
          <w:divBdr>
            <w:top w:val="none" w:sz="0" w:space="0" w:color="auto"/>
            <w:left w:val="none" w:sz="0" w:space="0" w:color="auto"/>
            <w:bottom w:val="none" w:sz="0" w:space="0" w:color="auto"/>
            <w:right w:val="none" w:sz="0" w:space="0" w:color="auto"/>
          </w:divBdr>
        </w:div>
        <w:div w:id="1969435433">
          <w:marLeft w:val="0"/>
          <w:marRight w:val="0"/>
          <w:marTop w:val="0"/>
          <w:marBottom w:val="0"/>
          <w:divBdr>
            <w:top w:val="none" w:sz="0" w:space="0" w:color="auto"/>
            <w:left w:val="none" w:sz="0" w:space="0" w:color="auto"/>
            <w:bottom w:val="none" w:sz="0" w:space="0" w:color="auto"/>
            <w:right w:val="none" w:sz="0" w:space="0" w:color="auto"/>
          </w:divBdr>
        </w:div>
        <w:div w:id="1146243837">
          <w:marLeft w:val="0"/>
          <w:marRight w:val="0"/>
          <w:marTop w:val="0"/>
          <w:marBottom w:val="0"/>
          <w:divBdr>
            <w:top w:val="none" w:sz="0" w:space="0" w:color="auto"/>
            <w:left w:val="none" w:sz="0" w:space="0" w:color="auto"/>
            <w:bottom w:val="none" w:sz="0" w:space="0" w:color="auto"/>
            <w:right w:val="none" w:sz="0" w:space="0" w:color="auto"/>
          </w:divBdr>
        </w:div>
        <w:div w:id="1550722282">
          <w:marLeft w:val="0"/>
          <w:marRight w:val="0"/>
          <w:marTop w:val="0"/>
          <w:marBottom w:val="0"/>
          <w:divBdr>
            <w:top w:val="none" w:sz="0" w:space="0" w:color="auto"/>
            <w:left w:val="none" w:sz="0" w:space="0" w:color="auto"/>
            <w:bottom w:val="none" w:sz="0" w:space="0" w:color="auto"/>
            <w:right w:val="none" w:sz="0" w:space="0" w:color="auto"/>
          </w:divBdr>
        </w:div>
        <w:div w:id="830758691">
          <w:marLeft w:val="0"/>
          <w:marRight w:val="0"/>
          <w:marTop w:val="0"/>
          <w:marBottom w:val="0"/>
          <w:divBdr>
            <w:top w:val="none" w:sz="0" w:space="0" w:color="auto"/>
            <w:left w:val="none" w:sz="0" w:space="0" w:color="auto"/>
            <w:bottom w:val="none" w:sz="0" w:space="0" w:color="auto"/>
            <w:right w:val="none" w:sz="0" w:space="0" w:color="auto"/>
          </w:divBdr>
        </w:div>
        <w:div w:id="1796219499">
          <w:marLeft w:val="0"/>
          <w:marRight w:val="0"/>
          <w:marTop w:val="0"/>
          <w:marBottom w:val="0"/>
          <w:divBdr>
            <w:top w:val="none" w:sz="0" w:space="0" w:color="auto"/>
            <w:left w:val="none" w:sz="0" w:space="0" w:color="auto"/>
            <w:bottom w:val="none" w:sz="0" w:space="0" w:color="auto"/>
            <w:right w:val="none" w:sz="0" w:space="0" w:color="auto"/>
          </w:divBdr>
        </w:div>
        <w:div w:id="110393927">
          <w:marLeft w:val="0"/>
          <w:marRight w:val="0"/>
          <w:marTop w:val="0"/>
          <w:marBottom w:val="0"/>
          <w:divBdr>
            <w:top w:val="none" w:sz="0" w:space="0" w:color="auto"/>
            <w:left w:val="none" w:sz="0" w:space="0" w:color="auto"/>
            <w:bottom w:val="none" w:sz="0" w:space="0" w:color="auto"/>
            <w:right w:val="none" w:sz="0" w:space="0" w:color="auto"/>
          </w:divBdr>
        </w:div>
        <w:div w:id="380129142">
          <w:marLeft w:val="0"/>
          <w:marRight w:val="0"/>
          <w:marTop w:val="0"/>
          <w:marBottom w:val="0"/>
          <w:divBdr>
            <w:top w:val="none" w:sz="0" w:space="0" w:color="auto"/>
            <w:left w:val="none" w:sz="0" w:space="0" w:color="auto"/>
            <w:bottom w:val="none" w:sz="0" w:space="0" w:color="auto"/>
            <w:right w:val="none" w:sz="0" w:space="0" w:color="auto"/>
          </w:divBdr>
        </w:div>
        <w:div w:id="51320519">
          <w:marLeft w:val="0"/>
          <w:marRight w:val="0"/>
          <w:marTop w:val="0"/>
          <w:marBottom w:val="0"/>
          <w:divBdr>
            <w:top w:val="none" w:sz="0" w:space="0" w:color="auto"/>
            <w:left w:val="none" w:sz="0" w:space="0" w:color="auto"/>
            <w:bottom w:val="none" w:sz="0" w:space="0" w:color="auto"/>
            <w:right w:val="none" w:sz="0" w:space="0" w:color="auto"/>
          </w:divBdr>
        </w:div>
        <w:div w:id="1830553400">
          <w:marLeft w:val="0"/>
          <w:marRight w:val="0"/>
          <w:marTop w:val="0"/>
          <w:marBottom w:val="0"/>
          <w:divBdr>
            <w:top w:val="none" w:sz="0" w:space="0" w:color="auto"/>
            <w:left w:val="none" w:sz="0" w:space="0" w:color="auto"/>
            <w:bottom w:val="none" w:sz="0" w:space="0" w:color="auto"/>
            <w:right w:val="none" w:sz="0" w:space="0" w:color="auto"/>
          </w:divBdr>
        </w:div>
        <w:div w:id="1802726256">
          <w:marLeft w:val="0"/>
          <w:marRight w:val="0"/>
          <w:marTop w:val="0"/>
          <w:marBottom w:val="0"/>
          <w:divBdr>
            <w:top w:val="none" w:sz="0" w:space="0" w:color="auto"/>
            <w:left w:val="none" w:sz="0" w:space="0" w:color="auto"/>
            <w:bottom w:val="none" w:sz="0" w:space="0" w:color="auto"/>
            <w:right w:val="none" w:sz="0" w:space="0" w:color="auto"/>
          </w:divBdr>
        </w:div>
      </w:divsChild>
    </w:div>
    <w:div w:id="1597859942">
      <w:bodyDiv w:val="1"/>
      <w:marLeft w:val="0"/>
      <w:marRight w:val="0"/>
      <w:marTop w:val="0"/>
      <w:marBottom w:val="0"/>
      <w:divBdr>
        <w:top w:val="none" w:sz="0" w:space="0" w:color="auto"/>
        <w:left w:val="none" w:sz="0" w:space="0" w:color="auto"/>
        <w:bottom w:val="none" w:sz="0" w:space="0" w:color="auto"/>
        <w:right w:val="none" w:sz="0" w:space="0" w:color="auto"/>
      </w:divBdr>
      <w:divsChild>
        <w:div w:id="1535999098">
          <w:marLeft w:val="0"/>
          <w:marRight w:val="0"/>
          <w:marTop w:val="0"/>
          <w:marBottom w:val="0"/>
          <w:divBdr>
            <w:top w:val="none" w:sz="0" w:space="0" w:color="auto"/>
            <w:left w:val="none" w:sz="0" w:space="0" w:color="auto"/>
            <w:bottom w:val="none" w:sz="0" w:space="0" w:color="auto"/>
            <w:right w:val="none" w:sz="0" w:space="0" w:color="auto"/>
          </w:divBdr>
        </w:div>
        <w:div w:id="58401672">
          <w:marLeft w:val="0"/>
          <w:marRight w:val="0"/>
          <w:marTop w:val="0"/>
          <w:marBottom w:val="0"/>
          <w:divBdr>
            <w:top w:val="none" w:sz="0" w:space="0" w:color="auto"/>
            <w:left w:val="none" w:sz="0" w:space="0" w:color="auto"/>
            <w:bottom w:val="none" w:sz="0" w:space="0" w:color="auto"/>
            <w:right w:val="none" w:sz="0" w:space="0" w:color="auto"/>
          </w:divBdr>
        </w:div>
        <w:div w:id="1815218719">
          <w:marLeft w:val="0"/>
          <w:marRight w:val="0"/>
          <w:marTop w:val="0"/>
          <w:marBottom w:val="0"/>
          <w:divBdr>
            <w:top w:val="none" w:sz="0" w:space="0" w:color="auto"/>
            <w:left w:val="none" w:sz="0" w:space="0" w:color="auto"/>
            <w:bottom w:val="none" w:sz="0" w:space="0" w:color="auto"/>
            <w:right w:val="none" w:sz="0" w:space="0" w:color="auto"/>
          </w:divBdr>
          <w:divsChild>
            <w:div w:id="374548792">
              <w:marLeft w:val="0"/>
              <w:marRight w:val="0"/>
              <w:marTop w:val="0"/>
              <w:marBottom w:val="0"/>
              <w:divBdr>
                <w:top w:val="none" w:sz="0" w:space="0" w:color="auto"/>
                <w:left w:val="none" w:sz="0" w:space="0" w:color="auto"/>
                <w:bottom w:val="none" w:sz="0" w:space="0" w:color="auto"/>
                <w:right w:val="none" w:sz="0" w:space="0" w:color="auto"/>
              </w:divBdr>
              <w:divsChild>
                <w:div w:id="5222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138412">
      <w:bodyDiv w:val="1"/>
      <w:marLeft w:val="0"/>
      <w:marRight w:val="0"/>
      <w:marTop w:val="0"/>
      <w:marBottom w:val="0"/>
      <w:divBdr>
        <w:top w:val="none" w:sz="0" w:space="0" w:color="auto"/>
        <w:left w:val="none" w:sz="0" w:space="0" w:color="auto"/>
        <w:bottom w:val="none" w:sz="0" w:space="0" w:color="auto"/>
        <w:right w:val="none" w:sz="0" w:space="0" w:color="auto"/>
      </w:divBdr>
    </w:div>
    <w:div w:id="186030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30394</Words>
  <Characters>173249</Characters>
  <Application>Microsoft Office Word</Application>
  <DocSecurity>0</DocSecurity>
  <Lines>1443</Lines>
  <Paragraphs>406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203237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Adhitya Nugraha</dc:creator>
  <cp:keywords/>
  <dc:description/>
  <cp:lastModifiedBy>Deden Witarsyah</cp:lastModifiedBy>
  <cp:revision>2</cp:revision>
  <cp:lastPrinted>2025-07-31T08:44:00Z</cp:lastPrinted>
  <dcterms:created xsi:type="dcterms:W3CDTF">2026-08-13T00:36:00Z</dcterms:created>
  <dcterms:modified xsi:type="dcterms:W3CDTF">2026-08-13T00:36:00Z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4fb9a7b8-e8f2-4464-adc3-9cc85158bf4e</vt:lpwstr>
  </property>
</Properties>
</file>