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385D2" w14:textId="587B0C84" w:rsidR="00480A54" w:rsidRPr="00AE1338" w:rsidRDefault="00AE1338" w:rsidP="00A51969">
      <w:pPr>
        <w:spacing w:after="0" w:line="240" w:lineRule="auto"/>
        <w:rPr>
          <w:rFonts w:ascii="Arial" w:hAnsi="Arial" w:cs="Arial"/>
          <w:b/>
          <w:bCs/>
          <w:sz w:val="36"/>
          <w:szCs w:val="36"/>
          <w:lang w:val="en-US"/>
        </w:rPr>
      </w:pPr>
      <w:r w:rsidRPr="00AE1338">
        <w:rPr>
          <w:rFonts w:ascii="Arial" w:hAnsi="Arial" w:cs="Arial"/>
          <w:b/>
          <w:bCs/>
          <w:noProof/>
          <w:sz w:val="36"/>
          <w:szCs w:val="36"/>
          <w:lang w:val="en-US"/>
        </w:rPr>
        <w:drawing>
          <wp:anchor distT="0" distB="0" distL="114300" distR="114300" simplePos="0" relativeHeight="251658240" behindDoc="1" locked="0" layoutInCell="1" allowOverlap="1" wp14:anchorId="039C06F0" wp14:editId="6B1F9D5E">
            <wp:simplePos x="0" y="0"/>
            <wp:positionH relativeFrom="column">
              <wp:posOffset>-679316</wp:posOffset>
            </wp:positionH>
            <wp:positionV relativeFrom="paragraph">
              <wp:posOffset>-914401</wp:posOffset>
            </wp:positionV>
            <wp:extent cx="7552901" cy="10694647"/>
            <wp:effectExtent l="0" t="0" r="3810" b="0"/>
            <wp:wrapNone/>
            <wp:docPr id="1808327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327470" name="Picture 1808327470"/>
                    <pic:cNvPicPr/>
                  </pic:nvPicPr>
                  <pic:blipFill>
                    <a:blip r:embed="rId8">
                      <a:extLst>
                        <a:ext uri="{28A0092B-C50C-407E-A947-70E740481C1C}">
                          <a14:useLocalDpi xmlns:a14="http://schemas.microsoft.com/office/drawing/2010/main" val="0"/>
                        </a:ext>
                      </a:extLst>
                    </a:blip>
                    <a:stretch>
                      <a:fillRect/>
                    </a:stretch>
                  </pic:blipFill>
                  <pic:spPr>
                    <a:xfrm>
                      <a:off x="0" y="0"/>
                      <a:ext cx="7689898" cy="10888630"/>
                    </a:xfrm>
                    <a:prstGeom prst="rect">
                      <a:avLst/>
                    </a:prstGeom>
                  </pic:spPr>
                </pic:pic>
              </a:graphicData>
            </a:graphic>
            <wp14:sizeRelH relativeFrom="page">
              <wp14:pctWidth>0</wp14:pctWidth>
            </wp14:sizeRelH>
            <wp14:sizeRelV relativeFrom="page">
              <wp14:pctHeight>0</wp14:pctHeight>
            </wp14:sizeRelV>
          </wp:anchor>
        </w:drawing>
      </w:r>
      <w:r w:rsidR="00480A54" w:rsidRPr="00AE1338">
        <w:rPr>
          <w:rFonts w:ascii="Arial" w:hAnsi="Arial" w:cs="Arial"/>
          <w:b/>
          <w:bCs/>
          <w:sz w:val="36"/>
          <w:szCs w:val="36"/>
          <w:lang w:val="en-US"/>
        </w:rPr>
        <w:br w:type="page"/>
      </w:r>
    </w:p>
    <w:p w14:paraId="2C4808D0" w14:textId="728F5096" w:rsidR="00396B5F" w:rsidRPr="00AE1338" w:rsidRDefault="007A1890" w:rsidP="00A51969">
      <w:pPr>
        <w:spacing w:after="0" w:line="240" w:lineRule="auto"/>
        <w:jc w:val="center"/>
        <w:rPr>
          <w:rFonts w:ascii="Arial" w:hAnsi="Arial" w:cs="Arial"/>
          <w:b/>
          <w:bCs/>
          <w:sz w:val="36"/>
          <w:szCs w:val="36"/>
          <w:lang w:val="en-US"/>
        </w:rPr>
      </w:pPr>
      <w:r w:rsidRPr="00AE1338">
        <w:rPr>
          <w:rFonts w:ascii="Arial" w:hAnsi="Arial" w:cs="Arial"/>
          <w:b/>
          <w:bCs/>
          <w:sz w:val="36"/>
          <w:szCs w:val="36"/>
          <w:lang w:val="en-US"/>
        </w:rPr>
        <w:lastRenderedPageBreak/>
        <w:t>INTERNATIONAL CONFERENCE ON INFORMATION SYSTEMS AND INTELLIGENT TECHNOLOGIES 2025</w:t>
      </w:r>
    </w:p>
    <w:p w14:paraId="10C3424A" w14:textId="7151E2F6" w:rsidR="00295339" w:rsidRPr="00AE1338" w:rsidRDefault="00295339" w:rsidP="00A51969">
      <w:pPr>
        <w:spacing w:after="0" w:line="240" w:lineRule="auto"/>
        <w:jc w:val="center"/>
        <w:rPr>
          <w:rFonts w:ascii="Arial" w:hAnsi="Arial" w:cs="Arial"/>
          <w:b/>
          <w:bCs/>
          <w:sz w:val="36"/>
          <w:szCs w:val="36"/>
          <w:lang w:val="en-US"/>
        </w:rPr>
      </w:pPr>
      <w:r w:rsidRPr="00AE1338">
        <w:rPr>
          <w:rFonts w:ascii="Arial" w:hAnsi="Arial" w:cs="Arial"/>
          <w:b/>
          <w:bCs/>
          <w:sz w:val="36"/>
          <w:szCs w:val="36"/>
          <w:lang w:val="en-US"/>
        </w:rPr>
        <w:t>INSIGHT 202</w:t>
      </w:r>
      <w:r w:rsidR="00AE1338" w:rsidRPr="00AE1338">
        <w:rPr>
          <w:rFonts w:ascii="Arial" w:hAnsi="Arial" w:cs="Arial"/>
          <w:b/>
          <w:bCs/>
          <w:sz w:val="36"/>
          <w:szCs w:val="36"/>
          <w:lang w:val="en-US"/>
        </w:rPr>
        <w:t>6</w:t>
      </w:r>
    </w:p>
    <w:p w14:paraId="6E4465CF" w14:textId="53A242B6" w:rsidR="00AE1338" w:rsidRPr="00AE1338" w:rsidRDefault="00396B5F" w:rsidP="00A51969">
      <w:pPr>
        <w:spacing w:after="0" w:line="240" w:lineRule="auto"/>
        <w:jc w:val="center"/>
        <w:rPr>
          <w:rFonts w:ascii="Arial" w:hAnsi="Arial" w:cs="Arial"/>
          <w:b/>
          <w:bCs/>
          <w:lang w:val="en-US"/>
        </w:rPr>
      </w:pPr>
      <w:r w:rsidRPr="00AE1338">
        <w:rPr>
          <w:rFonts w:ascii="Arial" w:hAnsi="Arial" w:cs="Arial"/>
          <w:b/>
          <w:bCs/>
          <w:lang w:val="en-US"/>
        </w:rPr>
        <w:t xml:space="preserve">Conference Date: </w:t>
      </w:r>
      <w:r w:rsidR="00AE1338" w:rsidRPr="00AE1338">
        <w:rPr>
          <w:rFonts w:ascii="Arial" w:hAnsi="Arial" w:cs="Arial"/>
          <w:b/>
          <w:bCs/>
          <w:lang w:val="en-US"/>
        </w:rPr>
        <w:t xml:space="preserve">August 19 &amp; 20, 2026, </w:t>
      </w:r>
    </w:p>
    <w:p w14:paraId="0F2C1DA5" w14:textId="4112188B" w:rsidR="00396B5F" w:rsidRPr="00AE1338" w:rsidRDefault="00AE1338" w:rsidP="00A51969">
      <w:pPr>
        <w:spacing w:after="0" w:line="240" w:lineRule="auto"/>
        <w:jc w:val="center"/>
        <w:rPr>
          <w:rFonts w:ascii="Arial" w:hAnsi="Arial" w:cs="Arial"/>
          <w:b/>
          <w:bCs/>
          <w:lang w:val="en-US"/>
        </w:rPr>
      </w:pPr>
      <w:r w:rsidRPr="00AE1338">
        <w:rPr>
          <w:rFonts w:ascii="Arial" w:hAnsi="Arial" w:cs="Arial"/>
          <w:b/>
          <w:bCs/>
          <w:lang w:val="en-US"/>
        </w:rPr>
        <w:t>Conference Hall, Istanbul Gelisim University, Türkiye</w:t>
      </w:r>
    </w:p>
    <w:p w14:paraId="2CCEF36D" w14:textId="77777777" w:rsidR="00884990" w:rsidRPr="00AE1338" w:rsidRDefault="00884990" w:rsidP="00A51969">
      <w:pPr>
        <w:spacing w:after="0" w:line="240" w:lineRule="auto"/>
        <w:jc w:val="center"/>
        <w:rPr>
          <w:rFonts w:ascii="Arial" w:hAnsi="Arial" w:cs="Arial"/>
          <w:b/>
          <w:bCs/>
          <w:lang w:val="en-US"/>
        </w:rPr>
      </w:pPr>
    </w:p>
    <w:p w14:paraId="12725EF1" w14:textId="6D537F3C" w:rsidR="006315AF" w:rsidRPr="00AE1338" w:rsidRDefault="006315AF" w:rsidP="00A51969">
      <w:pPr>
        <w:spacing w:after="0" w:line="240" w:lineRule="auto"/>
        <w:jc w:val="center"/>
        <w:rPr>
          <w:rFonts w:ascii="Arial" w:hAnsi="Arial" w:cs="Arial"/>
          <w:b/>
          <w:bCs/>
          <w:sz w:val="20"/>
          <w:szCs w:val="20"/>
          <w:lang w:val="en-US"/>
        </w:rPr>
      </w:pPr>
      <w:r w:rsidRPr="00AE1338">
        <w:rPr>
          <w:rFonts w:ascii="Arial" w:hAnsi="Arial" w:cs="Arial"/>
          <w:b/>
          <w:bCs/>
          <w:sz w:val="20"/>
          <w:szCs w:val="20"/>
          <w:lang w:val="en-US"/>
        </w:rPr>
        <w:t>WELCOME TO INSIGHT 202</w:t>
      </w:r>
      <w:r w:rsidR="00AE1338" w:rsidRPr="00AE1338">
        <w:rPr>
          <w:rFonts w:ascii="Arial" w:hAnsi="Arial" w:cs="Arial"/>
          <w:b/>
          <w:bCs/>
          <w:sz w:val="20"/>
          <w:szCs w:val="20"/>
          <w:lang w:val="en-US"/>
        </w:rPr>
        <w:t>6</w:t>
      </w:r>
    </w:p>
    <w:p w14:paraId="322D79F6" w14:textId="77777777" w:rsidR="00844480" w:rsidRPr="00AE1338" w:rsidRDefault="00844480" w:rsidP="00A51969">
      <w:pPr>
        <w:spacing w:after="0" w:line="240" w:lineRule="auto"/>
        <w:jc w:val="center"/>
        <w:rPr>
          <w:rFonts w:ascii="Arial" w:hAnsi="Arial" w:cs="Arial"/>
          <w:b/>
          <w:bCs/>
          <w:sz w:val="20"/>
          <w:szCs w:val="20"/>
          <w:lang w:val="en-US"/>
        </w:rPr>
      </w:pPr>
    </w:p>
    <w:p w14:paraId="78C5C8A6" w14:textId="77777777" w:rsidR="00AE1338" w:rsidRPr="00AE1338" w:rsidRDefault="00AE1338" w:rsidP="00A51969">
      <w:pPr>
        <w:spacing w:after="0" w:line="240" w:lineRule="auto"/>
        <w:jc w:val="both"/>
        <w:rPr>
          <w:rFonts w:ascii="Arial" w:hAnsi="Arial" w:cs="Arial"/>
          <w:sz w:val="20"/>
          <w:szCs w:val="20"/>
          <w:lang w:val="en-US"/>
        </w:rPr>
      </w:pPr>
      <w:r w:rsidRPr="00AE1338">
        <w:rPr>
          <w:rFonts w:ascii="Arial" w:hAnsi="Arial" w:cs="Arial"/>
          <w:sz w:val="20"/>
          <w:szCs w:val="20"/>
          <w:lang w:val="en-US"/>
        </w:rPr>
        <w:t>Welcome to the 2026 International Conference on Information Systems and Intelligent Technologies (INSIGHT) 2026, which will take place from 19 – 20 August 2026, in Istanbul, Turki, organized by Asia Pacific Research and Knowledge Network, Centro Algoritmi, Brawijaya University and Istanbul Gelisim University that explore the latest research, ideas, and solutions related to Information Systems and Artificial Intelligent Technologies.</w:t>
      </w:r>
    </w:p>
    <w:p w14:paraId="3680CD5C" w14:textId="77777777" w:rsidR="00AE1338" w:rsidRPr="00AE1338" w:rsidRDefault="00AE1338" w:rsidP="00A51969">
      <w:pPr>
        <w:spacing w:after="0" w:line="240" w:lineRule="auto"/>
        <w:jc w:val="both"/>
        <w:rPr>
          <w:rFonts w:ascii="Arial" w:hAnsi="Arial" w:cs="Arial"/>
          <w:sz w:val="20"/>
          <w:szCs w:val="20"/>
          <w:lang w:val="en-US"/>
        </w:rPr>
      </w:pPr>
    </w:p>
    <w:p w14:paraId="56AF7F97" w14:textId="7A8DF484" w:rsidR="00AE1338" w:rsidRPr="00AE1338" w:rsidRDefault="00AE1338" w:rsidP="00A51969">
      <w:pPr>
        <w:spacing w:after="0" w:line="240" w:lineRule="auto"/>
        <w:jc w:val="both"/>
        <w:rPr>
          <w:rFonts w:ascii="Arial" w:hAnsi="Arial" w:cs="Arial"/>
          <w:sz w:val="20"/>
          <w:szCs w:val="20"/>
          <w:lang w:val="en-US"/>
        </w:rPr>
      </w:pPr>
      <w:r w:rsidRPr="00AE1338">
        <w:rPr>
          <w:rFonts w:ascii="Arial" w:hAnsi="Arial" w:cs="Arial"/>
          <w:sz w:val="20"/>
          <w:szCs w:val="20"/>
          <w:lang w:val="en-US"/>
        </w:rPr>
        <w:t xml:space="preserve">INSIGHT 2026, the second edition of our hybrid international conference, is designed to convene distinguished educators, researchers, industry leaders, policymakers, and stakeholders from across the globe. Guided by the overarching theme of Sustainability and Future-Ready Innovation in Information Systems, the conference seeks to advance scholarly discourse and foster collaborative engagement in addressing complex global challenges through sustainable, ethical, and technology-driven solutions. INSIGHT 2026 will feature a comprehensive program </w:t>
      </w:r>
      <w:r>
        <w:rPr>
          <w:rFonts w:ascii="Arial" w:hAnsi="Arial" w:cs="Arial"/>
          <w:sz w:val="20"/>
          <w:szCs w:val="20"/>
          <w:lang w:val="en-US"/>
        </w:rPr>
        <w:t>of</w:t>
      </w:r>
      <w:r w:rsidRPr="00AE1338">
        <w:rPr>
          <w:rFonts w:ascii="Arial" w:hAnsi="Arial" w:cs="Arial"/>
          <w:sz w:val="20"/>
          <w:szCs w:val="20"/>
          <w:lang w:val="en-US"/>
        </w:rPr>
        <w:t xml:space="preserve"> high-quality research presentations, empirical investigations, and applied case studies in Information Systems and related disciplines. </w:t>
      </w:r>
      <w:proofErr w:type="gramStart"/>
      <w:r w:rsidRPr="00AE1338">
        <w:rPr>
          <w:rFonts w:ascii="Arial" w:hAnsi="Arial" w:cs="Arial"/>
          <w:sz w:val="20"/>
          <w:szCs w:val="20"/>
          <w:lang w:val="en-US"/>
        </w:rPr>
        <w:t>Particular emphasis</w:t>
      </w:r>
      <w:proofErr w:type="gramEnd"/>
      <w:r w:rsidRPr="00AE1338">
        <w:rPr>
          <w:rFonts w:ascii="Arial" w:hAnsi="Arial" w:cs="Arial"/>
          <w:sz w:val="20"/>
          <w:szCs w:val="20"/>
          <w:lang w:val="en-US"/>
        </w:rPr>
        <w:t xml:space="preserve"> will be placed on sustainable digital transformation, green and responsible computing, data-driven governance, intelligent systems, cybersecurity resilience, and innovative Information Systems frameworks that support environmental stewardship, social responsibility, and economic sustainability. The conference will be conducted through plenary sessions, parallel technical tracks, and structured networking forums to facilitate rigorous academic exchange and interdisciplinary collaboration. It aims to explore how Information Systems can serve as strategic enablers for sustainable development, organizational resilience, and inclusive digital ecosystems. Participants will also benefit from reputable publication opportunities and meaningful engagement with leading scholars and experts in Information Systems and sustainability research. We cordially invite academics, researchers, and practitioners to participate in INSIGHT 2026 and contribute to advancing knowledge, fostering sustainable Information Systems innovation, and shaping a resilient and inclusive global future.</w:t>
      </w:r>
    </w:p>
    <w:p w14:paraId="74BB8650" w14:textId="77777777" w:rsidR="00844480" w:rsidRPr="00AE1338" w:rsidRDefault="00844480" w:rsidP="00A51969">
      <w:pPr>
        <w:spacing w:after="0" w:line="240" w:lineRule="auto"/>
        <w:jc w:val="both"/>
        <w:rPr>
          <w:rFonts w:ascii="Arial" w:hAnsi="Arial" w:cs="Arial"/>
          <w:sz w:val="20"/>
          <w:szCs w:val="20"/>
          <w:lang w:val="en-US"/>
        </w:rPr>
      </w:pPr>
    </w:p>
    <w:p w14:paraId="152C6097" w14:textId="77777777" w:rsidR="00AE1338" w:rsidRPr="00AE1338" w:rsidRDefault="00AE1338" w:rsidP="00A51969">
      <w:pPr>
        <w:spacing w:after="0" w:line="240" w:lineRule="auto"/>
        <w:jc w:val="center"/>
        <w:rPr>
          <w:rFonts w:ascii="Arial" w:hAnsi="Arial" w:cs="Arial"/>
          <w:b/>
          <w:bCs/>
        </w:rPr>
      </w:pPr>
      <w:r w:rsidRPr="00AE1338">
        <w:rPr>
          <w:rFonts w:ascii="Arial" w:hAnsi="Arial" w:cs="Arial"/>
          <w:b/>
          <w:bCs/>
        </w:rPr>
        <w:t>“THEME: INTEGRATING INFORMATION SYSTEM AND ARTIFICIAL INTELLIGENCE TECHNOLOGY FOR SUSTAINABLE INOVATION AND DEVELOPMENT”</w:t>
      </w:r>
    </w:p>
    <w:p w14:paraId="380EED7A" w14:textId="77777777" w:rsidR="00844480" w:rsidRPr="00AE1338" w:rsidRDefault="00844480" w:rsidP="00A51969">
      <w:pPr>
        <w:spacing w:after="0" w:line="240" w:lineRule="auto"/>
        <w:jc w:val="center"/>
        <w:rPr>
          <w:rFonts w:ascii="Arial" w:hAnsi="Arial" w:cs="Arial"/>
          <w:b/>
          <w:bCs/>
          <w:sz w:val="20"/>
          <w:szCs w:val="20"/>
        </w:rPr>
      </w:pPr>
    </w:p>
    <w:p w14:paraId="150D4121" w14:textId="79681815" w:rsidR="006315AF" w:rsidRDefault="00AE1338" w:rsidP="00A51969">
      <w:pPr>
        <w:spacing w:after="0" w:line="240" w:lineRule="auto"/>
        <w:jc w:val="both"/>
        <w:rPr>
          <w:rFonts w:ascii="Arial" w:hAnsi="Arial" w:cs="Arial"/>
          <w:sz w:val="20"/>
          <w:szCs w:val="20"/>
          <w:lang w:val="en-US"/>
        </w:rPr>
      </w:pPr>
      <w:r w:rsidRPr="00AE1338">
        <w:rPr>
          <w:rFonts w:ascii="Arial" w:hAnsi="Arial" w:cs="Arial"/>
          <w:sz w:val="20"/>
          <w:szCs w:val="20"/>
          <w:lang w:val="en-US"/>
        </w:rPr>
        <w:t xml:space="preserve">INSIGHT 2026 seeks to foster knowledge exchange, collaboration, and innovation </w:t>
      </w:r>
      <w:r>
        <w:rPr>
          <w:rFonts w:ascii="Arial" w:hAnsi="Arial" w:cs="Arial"/>
          <w:sz w:val="20"/>
          <w:szCs w:val="20"/>
          <w:lang w:val="en-US"/>
        </w:rPr>
        <w:t>across</w:t>
      </w:r>
      <w:r w:rsidRPr="00AE1338">
        <w:rPr>
          <w:rFonts w:ascii="Arial" w:hAnsi="Arial" w:cs="Arial"/>
          <w:sz w:val="20"/>
          <w:szCs w:val="20"/>
          <w:lang w:val="en-US"/>
        </w:rPr>
        <w:t xml:space="preserve"> data science and information systems. It aims to bring together scholars, experts, industries, and stakeholders to discuss sustainable practices, address challenges, showcase new technologies, and facilitate networking </w:t>
      </w:r>
      <w:r>
        <w:rPr>
          <w:rFonts w:ascii="Arial" w:hAnsi="Arial" w:cs="Arial"/>
          <w:sz w:val="20"/>
          <w:szCs w:val="20"/>
          <w:lang w:val="en-US"/>
        </w:rPr>
        <w:t>to</w:t>
      </w:r>
      <w:r w:rsidRPr="00AE1338">
        <w:rPr>
          <w:rFonts w:ascii="Arial" w:hAnsi="Arial" w:cs="Arial"/>
          <w:sz w:val="20"/>
          <w:szCs w:val="20"/>
          <w:lang w:val="en-US"/>
        </w:rPr>
        <w:t xml:space="preserve"> advance these interconnected fields.</w:t>
      </w:r>
    </w:p>
    <w:p w14:paraId="0A9401AB" w14:textId="77777777" w:rsidR="00AE1338" w:rsidRPr="00AE1338" w:rsidRDefault="00AE1338" w:rsidP="00A51969">
      <w:pPr>
        <w:spacing w:after="0" w:line="240" w:lineRule="auto"/>
        <w:jc w:val="center"/>
        <w:rPr>
          <w:rFonts w:ascii="Arial" w:hAnsi="Arial" w:cs="Arial"/>
          <w:b/>
          <w:bCs/>
          <w:sz w:val="20"/>
          <w:szCs w:val="20"/>
          <w:lang w:val="en-US"/>
        </w:rPr>
      </w:pPr>
    </w:p>
    <w:p w14:paraId="6C314799" w14:textId="0B88F8C3" w:rsidR="006315AF" w:rsidRPr="00AE1338" w:rsidRDefault="006315AF" w:rsidP="00A51969">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jc w:val="center"/>
        <w:rPr>
          <w:rFonts w:ascii="Arial" w:hAnsi="Arial" w:cs="Arial"/>
          <w:b/>
          <w:bCs/>
          <w:sz w:val="20"/>
          <w:szCs w:val="20"/>
          <w:lang w:val="en-US"/>
        </w:rPr>
      </w:pPr>
      <w:r w:rsidRPr="00AE1338">
        <w:rPr>
          <w:rFonts w:ascii="Arial" w:hAnsi="Arial" w:cs="Arial"/>
          <w:b/>
          <w:bCs/>
          <w:sz w:val="20"/>
          <w:szCs w:val="20"/>
          <w:lang w:val="en-US"/>
        </w:rPr>
        <w:t>CONFERENCE TRACK</w:t>
      </w:r>
    </w:p>
    <w:p w14:paraId="17FADA5B" w14:textId="77777777" w:rsidR="006315AF" w:rsidRPr="00AE1338" w:rsidRDefault="006315AF" w:rsidP="00A51969">
      <w:pPr>
        <w:spacing w:after="0" w:line="240" w:lineRule="auto"/>
        <w:rPr>
          <w:rFonts w:ascii="Arial" w:hAnsi="Arial" w:cs="Arial"/>
          <w:b/>
          <w:bCs/>
          <w:sz w:val="20"/>
          <w:szCs w:val="20"/>
          <w:lang w:val="en-US"/>
        </w:rPr>
      </w:pPr>
    </w:p>
    <w:p w14:paraId="72F60183" w14:textId="77777777" w:rsidR="006D36A8" w:rsidRPr="006D36A8" w:rsidRDefault="006D36A8" w:rsidP="00A51969">
      <w:pPr>
        <w:spacing w:after="0" w:line="240" w:lineRule="auto"/>
        <w:rPr>
          <w:rFonts w:ascii="Arial" w:hAnsi="Arial" w:cs="Arial"/>
          <w:sz w:val="20"/>
          <w:szCs w:val="20"/>
        </w:rPr>
      </w:pPr>
      <w:r w:rsidRPr="006D36A8">
        <w:rPr>
          <w:rFonts w:ascii="Arial" w:hAnsi="Arial" w:cs="Arial"/>
          <w:b/>
          <w:bCs/>
          <w:sz w:val="20"/>
          <w:szCs w:val="20"/>
        </w:rPr>
        <w:t xml:space="preserve">Topics of Interest include, but not limited </w:t>
      </w:r>
      <w:proofErr w:type="gramStart"/>
      <w:r w:rsidRPr="006D36A8">
        <w:rPr>
          <w:rFonts w:ascii="Arial" w:hAnsi="Arial" w:cs="Arial"/>
          <w:b/>
          <w:bCs/>
          <w:sz w:val="20"/>
          <w:szCs w:val="20"/>
        </w:rPr>
        <w:t>to :</w:t>
      </w:r>
      <w:proofErr w:type="gramEnd"/>
      <w:r w:rsidRPr="006D36A8">
        <w:rPr>
          <w:rFonts w:ascii="Arial" w:hAnsi="Arial" w:cs="Arial"/>
          <w:b/>
          <w:bCs/>
          <w:sz w:val="20"/>
          <w:szCs w:val="20"/>
        </w:rPr>
        <w:t>  </w:t>
      </w:r>
    </w:p>
    <w:p w14:paraId="5A3D5767" w14:textId="77777777" w:rsidR="006D36A8" w:rsidRDefault="006D36A8" w:rsidP="00A51969">
      <w:pPr>
        <w:spacing w:after="0" w:line="240" w:lineRule="auto"/>
        <w:rPr>
          <w:rFonts w:ascii="Arial" w:hAnsi="Arial" w:cs="Arial"/>
          <w:sz w:val="20"/>
          <w:szCs w:val="20"/>
        </w:rPr>
      </w:pPr>
      <w:r w:rsidRPr="006D36A8">
        <w:rPr>
          <w:rFonts w:ascii="Arial" w:hAnsi="Arial" w:cs="Arial"/>
          <w:sz w:val="20"/>
          <w:szCs w:val="20"/>
        </w:rPr>
        <w:t>Artificial Intelligence and Machine Learning in Information Systems for Business and Social Sciences</w:t>
      </w:r>
    </w:p>
    <w:p w14:paraId="443832A8" w14:textId="77777777" w:rsidR="006D36A8" w:rsidRDefault="006D36A8" w:rsidP="00A51969">
      <w:pPr>
        <w:spacing w:after="0" w:line="240" w:lineRule="auto"/>
        <w:rPr>
          <w:rFonts w:ascii="Arial" w:hAnsi="Arial" w:cs="Arial"/>
          <w:sz w:val="20"/>
          <w:szCs w:val="20"/>
        </w:rPr>
      </w:pPr>
      <w:r w:rsidRPr="006D36A8">
        <w:rPr>
          <w:rFonts w:ascii="Arial" w:hAnsi="Arial" w:cs="Arial"/>
          <w:sz w:val="20"/>
          <w:szCs w:val="20"/>
        </w:rPr>
        <w:t>Big Data Analytics, Data-Driven Decision Making, and Sentiment Analysis in Business and Social Sciences</w:t>
      </w:r>
    </w:p>
    <w:p w14:paraId="0B74F301" w14:textId="77777777" w:rsidR="006D36A8" w:rsidRDefault="006D36A8" w:rsidP="00A51969">
      <w:pPr>
        <w:spacing w:after="0" w:line="240" w:lineRule="auto"/>
        <w:rPr>
          <w:rFonts w:ascii="Arial" w:hAnsi="Arial" w:cs="Arial"/>
          <w:sz w:val="20"/>
          <w:szCs w:val="20"/>
        </w:rPr>
      </w:pPr>
      <w:r w:rsidRPr="006D36A8">
        <w:rPr>
          <w:rFonts w:ascii="Arial" w:hAnsi="Arial" w:cs="Arial"/>
          <w:sz w:val="20"/>
          <w:szCs w:val="20"/>
        </w:rPr>
        <w:t>Digital Transformation Strategies and Frameworks for Business and Social Sciences</w:t>
      </w:r>
    </w:p>
    <w:p w14:paraId="3BE389AF" w14:textId="77777777" w:rsidR="006D36A8" w:rsidRDefault="006D36A8" w:rsidP="00A51969">
      <w:pPr>
        <w:spacing w:after="0" w:line="240" w:lineRule="auto"/>
        <w:rPr>
          <w:rFonts w:ascii="Arial" w:hAnsi="Arial" w:cs="Arial"/>
          <w:sz w:val="20"/>
          <w:szCs w:val="20"/>
        </w:rPr>
      </w:pPr>
      <w:r w:rsidRPr="006D36A8">
        <w:rPr>
          <w:rFonts w:ascii="Arial" w:hAnsi="Arial" w:cs="Arial"/>
          <w:sz w:val="20"/>
          <w:szCs w:val="20"/>
        </w:rPr>
        <w:t>Blockchain and Distributed Ledger Technologies in IS</w:t>
      </w:r>
    </w:p>
    <w:p w14:paraId="7FC956B5" w14:textId="77777777" w:rsidR="006D36A8" w:rsidRDefault="006D36A8" w:rsidP="00A51969">
      <w:pPr>
        <w:spacing w:after="0" w:line="240" w:lineRule="auto"/>
        <w:rPr>
          <w:rFonts w:ascii="Arial" w:hAnsi="Arial" w:cs="Arial"/>
          <w:sz w:val="20"/>
          <w:szCs w:val="20"/>
        </w:rPr>
      </w:pPr>
      <w:r w:rsidRPr="006D36A8">
        <w:rPr>
          <w:rFonts w:ascii="Arial" w:hAnsi="Arial" w:cs="Arial"/>
          <w:sz w:val="20"/>
          <w:szCs w:val="20"/>
        </w:rPr>
        <w:t>Cloud Computing, IoT, and Edge Technologies Enabling Digital Transformation in Business and Social Sciences</w:t>
      </w:r>
    </w:p>
    <w:p w14:paraId="0ADB2A5D" w14:textId="77777777" w:rsidR="006D36A8" w:rsidRDefault="006D36A8" w:rsidP="00A51969">
      <w:pPr>
        <w:spacing w:after="0" w:line="240" w:lineRule="auto"/>
        <w:rPr>
          <w:rFonts w:ascii="Arial" w:hAnsi="Arial" w:cs="Arial"/>
          <w:sz w:val="20"/>
          <w:szCs w:val="20"/>
        </w:rPr>
      </w:pPr>
      <w:r w:rsidRPr="006D36A8">
        <w:rPr>
          <w:rFonts w:ascii="Arial" w:hAnsi="Arial" w:cs="Arial"/>
          <w:sz w:val="20"/>
          <w:szCs w:val="20"/>
        </w:rPr>
        <w:t>Cybersecurity, Privacy, and Ethical Challenges in Intelligent Systems</w:t>
      </w:r>
    </w:p>
    <w:p w14:paraId="4B9E9CB4" w14:textId="77777777" w:rsidR="006D36A8" w:rsidRDefault="006D36A8" w:rsidP="00A51969">
      <w:pPr>
        <w:spacing w:after="0" w:line="240" w:lineRule="auto"/>
        <w:rPr>
          <w:rFonts w:ascii="Arial" w:hAnsi="Arial" w:cs="Arial"/>
          <w:sz w:val="20"/>
          <w:szCs w:val="20"/>
        </w:rPr>
      </w:pPr>
      <w:r w:rsidRPr="006D36A8">
        <w:rPr>
          <w:rFonts w:ascii="Arial" w:hAnsi="Arial" w:cs="Arial"/>
          <w:sz w:val="20"/>
          <w:szCs w:val="20"/>
        </w:rPr>
        <w:t>User Experience in Information Systems, E-Business, and IT Adoption</w:t>
      </w:r>
    </w:p>
    <w:p w14:paraId="2EE11042" w14:textId="77777777" w:rsidR="006D36A8" w:rsidRDefault="006D36A8" w:rsidP="00A51969">
      <w:pPr>
        <w:spacing w:after="0" w:line="240" w:lineRule="auto"/>
        <w:rPr>
          <w:rFonts w:ascii="Arial" w:hAnsi="Arial" w:cs="Arial"/>
          <w:sz w:val="20"/>
          <w:szCs w:val="20"/>
        </w:rPr>
      </w:pPr>
      <w:r w:rsidRPr="006D36A8">
        <w:rPr>
          <w:rFonts w:ascii="Arial" w:hAnsi="Arial" w:cs="Arial"/>
          <w:sz w:val="20"/>
          <w:szCs w:val="20"/>
        </w:rPr>
        <w:t>Smart Cities, Digital Governance, and E-Government Solutions</w:t>
      </w:r>
    </w:p>
    <w:p w14:paraId="62A506BC" w14:textId="5B68AC15" w:rsidR="0075434E" w:rsidRDefault="006D36A8" w:rsidP="00A51969">
      <w:pPr>
        <w:spacing w:after="0" w:line="240" w:lineRule="auto"/>
        <w:rPr>
          <w:rFonts w:ascii="Arial" w:hAnsi="Arial" w:cs="Arial"/>
          <w:sz w:val="20"/>
          <w:szCs w:val="20"/>
        </w:rPr>
      </w:pPr>
      <w:r w:rsidRPr="006D36A8">
        <w:rPr>
          <w:rFonts w:ascii="Arial" w:hAnsi="Arial" w:cs="Arial"/>
          <w:sz w:val="20"/>
          <w:szCs w:val="20"/>
        </w:rPr>
        <w:t>AI and Education, Intelligent Supply Chains and Industry 4.0 Solutions</w:t>
      </w:r>
    </w:p>
    <w:p w14:paraId="3D91E87F" w14:textId="0B0A3E7D" w:rsidR="00995DB6" w:rsidRPr="00995DB6" w:rsidRDefault="0075434E" w:rsidP="00995DB6">
      <w:pPr>
        <w:spacing w:after="0" w:line="240" w:lineRule="auto"/>
        <w:rPr>
          <w:rFonts w:ascii="Arial" w:hAnsi="Arial" w:cs="Arial"/>
          <w:sz w:val="20"/>
          <w:szCs w:val="20"/>
        </w:rPr>
      </w:pPr>
      <w:r>
        <w:rPr>
          <w:rFonts w:ascii="Arial" w:hAnsi="Arial" w:cs="Arial"/>
          <w:sz w:val="20"/>
          <w:szCs w:val="20"/>
        </w:rPr>
        <w:br w:type="page"/>
      </w:r>
    </w:p>
    <w:p w14:paraId="25F6481C" w14:textId="536ACE68" w:rsidR="00F15FF0" w:rsidRPr="00F15FF0" w:rsidRDefault="00F15FF0" w:rsidP="00F15FF0">
      <w:pPr>
        <w:spacing w:before="100" w:beforeAutospacing="1" w:after="100" w:afterAutospacing="1" w:line="240" w:lineRule="auto"/>
        <w:outlineLvl w:val="0"/>
        <w:rPr>
          <w:rFonts w:ascii="Arial" w:eastAsia="Times New Roman" w:hAnsi="Arial" w:cs="Arial"/>
          <w:b/>
          <w:bCs/>
          <w:kern w:val="36"/>
          <w:sz w:val="22"/>
          <w:szCs w:val="22"/>
          <w:lang w:val="tr-TR" w:eastAsia="tr-TR"/>
          <w14:ligatures w14:val="none"/>
        </w:rPr>
      </w:pPr>
      <w:r w:rsidRPr="00F15FF0">
        <w:rPr>
          <w:rFonts w:ascii="Arial" w:eastAsia="Times New Roman" w:hAnsi="Arial" w:cs="Arial"/>
          <w:b/>
          <w:bCs/>
          <w:kern w:val="36"/>
          <w:sz w:val="22"/>
          <w:szCs w:val="22"/>
          <w:lang w:val="tr-TR" w:eastAsia="tr-TR"/>
          <w14:ligatures w14:val="none"/>
        </w:rPr>
        <w:lastRenderedPageBreak/>
        <w:t>O</w:t>
      </w:r>
      <w:r>
        <w:rPr>
          <w:rFonts w:ascii="Arial" w:eastAsia="Times New Roman" w:hAnsi="Arial" w:cs="Arial"/>
          <w:b/>
          <w:bCs/>
          <w:kern w:val="36"/>
          <w:sz w:val="22"/>
          <w:szCs w:val="22"/>
          <w:lang w:val="tr-TR" w:eastAsia="tr-TR"/>
          <w14:ligatures w14:val="none"/>
        </w:rPr>
        <w:t xml:space="preserve">PENING REMARKS </w:t>
      </w:r>
    </w:p>
    <w:p w14:paraId="74392579" w14:textId="77777777" w:rsidR="00F15FF0" w:rsidRPr="00F15FF0" w:rsidRDefault="00F15FF0" w:rsidP="00F15FF0">
      <w:pPr>
        <w:spacing w:after="0" w:line="240" w:lineRule="auto"/>
        <w:outlineLvl w:val="2"/>
        <w:rPr>
          <w:rFonts w:ascii="Arial" w:eastAsia="Times New Roman" w:hAnsi="Arial" w:cs="Arial"/>
          <w:b/>
          <w:bCs/>
          <w:kern w:val="0"/>
          <w:sz w:val="22"/>
          <w:szCs w:val="22"/>
          <w:lang w:val="tr-TR" w:eastAsia="tr-TR"/>
          <w14:ligatures w14:val="none"/>
        </w:rPr>
      </w:pPr>
      <w:r w:rsidRPr="00F15FF0">
        <w:rPr>
          <w:rFonts w:ascii="Arial" w:eastAsia="Times New Roman" w:hAnsi="Arial" w:cs="Arial"/>
          <w:b/>
          <w:bCs/>
          <w:kern w:val="0"/>
          <w:sz w:val="22"/>
          <w:szCs w:val="22"/>
          <w:lang w:val="tr-TR" w:eastAsia="tr-TR"/>
          <w14:ligatures w14:val="none"/>
        </w:rPr>
        <w:t>Prof. Kenan AYDIN</w:t>
      </w:r>
    </w:p>
    <w:p w14:paraId="4F5F81DA" w14:textId="77777777" w:rsidR="00F15FF0" w:rsidRPr="00F15FF0" w:rsidRDefault="00F15FF0" w:rsidP="00F15FF0">
      <w:pPr>
        <w:spacing w:after="0" w:line="240" w:lineRule="auto"/>
        <w:rPr>
          <w:rFonts w:ascii="Arial" w:eastAsia="Times New Roman" w:hAnsi="Arial" w:cs="Arial"/>
          <w:b/>
          <w:bCs/>
          <w:kern w:val="0"/>
          <w:sz w:val="22"/>
          <w:szCs w:val="22"/>
          <w:lang w:val="tr-TR" w:eastAsia="tr-TR"/>
          <w14:ligatures w14:val="none"/>
        </w:rPr>
      </w:pPr>
      <w:r w:rsidRPr="00F15FF0">
        <w:rPr>
          <w:rFonts w:ascii="Arial" w:eastAsia="Times New Roman" w:hAnsi="Arial" w:cs="Arial"/>
          <w:b/>
          <w:bCs/>
          <w:kern w:val="0"/>
          <w:sz w:val="22"/>
          <w:szCs w:val="22"/>
          <w:lang w:val="tr-TR" w:eastAsia="tr-TR"/>
          <w14:ligatures w14:val="none"/>
        </w:rPr>
        <w:t>Dean</w:t>
      </w:r>
    </w:p>
    <w:p w14:paraId="1E055B71" w14:textId="77777777" w:rsidR="00F15FF0" w:rsidRPr="00F15FF0" w:rsidRDefault="00F15FF0" w:rsidP="00F15FF0">
      <w:pPr>
        <w:spacing w:after="0" w:line="240" w:lineRule="auto"/>
        <w:rPr>
          <w:rFonts w:ascii="Arial" w:eastAsia="Times New Roman" w:hAnsi="Arial" w:cs="Arial"/>
          <w:b/>
          <w:bCs/>
          <w:kern w:val="0"/>
          <w:sz w:val="22"/>
          <w:szCs w:val="22"/>
          <w:lang w:val="tr-TR" w:eastAsia="tr-TR"/>
          <w14:ligatures w14:val="none"/>
        </w:rPr>
      </w:pPr>
    </w:p>
    <w:p w14:paraId="4E91D052" w14:textId="77777777" w:rsidR="00F15FF0" w:rsidRPr="00F15FF0" w:rsidRDefault="00F15FF0" w:rsidP="00F15FF0">
      <w:pPr>
        <w:spacing w:after="0" w:line="240" w:lineRule="auto"/>
        <w:rPr>
          <w:rFonts w:ascii="Arial" w:eastAsia="Times New Roman" w:hAnsi="Arial" w:cs="Arial"/>
          <w:kern w:val="0"/>
          <w:sz w:val="22"/>
          <w:szCs w:val="22"/>
          <w:lang w:val="tr-TR" w:eastAsia="tr-TR"/>
          <w14:ligatures w14:val="none"/>
        </w:rPr>
      </w:pPr>
      <w:r w:rsidRPr="00F15FF0">
        <w:rPr>
          <w:rFonts w:ascii="Arial" w:eastAsia="Times New Roman" w:hAnsi="Arial" w:cs="Arial"/>
          <w:b/>
          <w:bCs/>
          <w:kern w:val="0"/>
          <w:sz w:val="22"/>
          <w:szCs w:val="22"/>
          <w:lang w:val="tr-TR" w:eastAsia="tr-TR"/>
          <w14:ligatures w14:val="none"/>
        </w:rPr>
        <w:t>Faculty of Economics, Administrative, and Social Sciences</w:t>
      </w:r>
      <w:r w:rsidRPr="00F15FF0">
        <w:rPr>
          <w:rFonts w:ascii="Arial" w:eastAsia="Times New Roman" w:hAnsi="Arial" w:cs="Arial"/>
          <w:kern w:val="0"/>
          <w:sz w:val="22"/>
          <w:szCs w:val="22"/>
          <w:lang w:val="tr-TR" w:eastAsia="tr-TR"/>
          <w14:ligatures w14:val="none"/>
        </w:rPr>
        <w:br/>
      </w:r>
      <w:r w:rsidRPr="00F15FF0">
        <w:rPr>
          <w:rFonts w:ascii="Arial" w:eastAsia="Times New Roman" w:hAnsi="Arial" w:cs="Arial"/>
          <w:b/>
          <w:bCs/>
          <w:kern w:val="0"/>
          <w:sz w:val="22"/>
          <w:szCs w:val="22"/>
          <w:lang w:val="tr-TR" w:eastAsia="tr-TR"/>
          <w14:ligatures w14:val="none"/>
        </w:rPr>
        <w:t>Istanbul Gelisim University</w:t>
      </w:r>
    </w:p>
    <w:p w14:paraId="4AF1C490" w14:textId="5C9EA8BA" w:rsidR="00F15FF0" w:rsidRPr="00F15FF0" w:rsidRDefault="00F15FF0" w:rsidP="00F15FF0">
      <w:pPr>
        <w:spacing w:before="100" w:beforeAutospacing="1" w:after="100" w:afterAutospacing="1" w:line="240" w:lineRule="auto"/>
        <w:jc w:val="both"/>
        <w:rPr>
          <w:rFonts w:ascii="Arial" w:eastAsia="Times New Roman" w:hAnsi="Arial" w:cs="Arial"/>
          <w:kern w:val="0"/>
          <w:sz w:val="22"/>
          <w:szCs w:val="22"/>
          <w:lang w:val="tr-TR" w:eastAsia="tr-TR"/>
          <w14:ligatures w14:val="none"/>
        </w:rPr>
      </w:pPr>
      <w:r w:rsidRPr="00F15FF0">
        <w:rPr>
          <w:rFonts w:ascii="Arial" w:eastAsia="Times New Roman" w:hAnsi="Arial" w:cs="Arial"/>
          <w:b/>
          <w:bCs/>
          <w:kern w:val="0"/>
          <w:sz w:val="22"/>
          <w:szCs w:val="22"/>
          <w:lang w:val="tr-TR" w:eastAsia="tr-TR"/>
          <w14:ligatures w14:val="none"/>
        </w:rPr>
        <w:t>Honorable Chairman of the Board of Trustees, Esteemed Rector, Distinguished University Administrators, Respected Representatives of our conference partners</w:t>
      </w:r>
      <w:r w:rsidR="00341A90">
        <w:rPr>
          <w:rFonts w:ascii="Arial" w:eastAsia="Times New Roman" w:hAnsi="Arial" w:cs="Arial"/>
          <w:b/>
          <w:bCs/>
          <w:kern w:val="0"/>
          <w:sz w:val="22"/>
          <w:szCs w:val="22"/>
          <w:lang w:val="tr-TR" w:eastAsia="tr-TR"/>
          <w14:ligatures w14:val="none"/>
        </w:rPr>
        <w:t xml:space="preserve"> </w:t>
      </w:r>
      <w:r w:rsidRPr="00F15FF0">
        <w:rPr>
          <w:rFonts w:ascii="Arial" w:eastAsia="Times New Roman" w:hAnsi="Arial" w:cs="Arial"/>
          <w:b/>
          <w:bCs/>
          <w:kern w:val="0"/>
          <w:sz w:val="22"/>
          <w:szCs w:val="22"/>
          <w:lang w:val="tr-TR" w:eastAsia="tr-TR"/>
          <w14:ligatures w14:val="none"/>
        </w:rPr>
        <w:t xml:space="preserve">Universiti Tun Hussein </w:t>
      </w:r>
      <w:r w:rsidR="00341A90">
        <w:rPr>
          <w:rFonts w:ascii="Arial" w:eastAsia="Times New Roman" w:hAnsi="Arial" w:cs="Arial"/>
          <w:b/>
          <w:bCs/>
          <w:kern w:val="0"/>
          <w:sz w:val="22"/>
          <w:szCs w:val="22"/>
          <w:lang w:val="tr-TR" w:eastAsia="tr-TR"/>
          <w14:ligatures w14:val="none"/>
        </w:rPr>
        <w:t xml:space="preserve">Onn </w:t>
      </w:r>
      <w:r w:rsidRPr="00F15FF0">
        <w:rPr>
          <w:rFonts w:ascii="Arial" w:eastAsia="Times New Roman" w:hAnsi="Arial" w:cs="Arial"/>
          <w:b/>
          <w:bCs/>
          <w:kern w:val="0"/>
          <w:sz w:val="22"/>
          <w:szCs w:val="22"/>
          <w:lang w:val="tr-TR" w:eastAsia="tr-TR"/>
          <w14:ligatures w14:val="none"/>
        </w:rPr>
        <w:t xml:space="preserve">Malaysia, Asia Pacific Research and Knowledge Network, Centro Algoritmi, </w:t>
      </w:r>
      <w:r w:rsidR="00341A90">
        <w:rPr>
          <w:rFonts w:ascii="Arial" w:eastAsia="Times New Roman" w:hAnsi="Arial" w:cs="Arial"/>
          <w:b/>
          <w:bCs/>
          <w:kern w:val="0"/>
          <w:sz w:val="22"/>
          <w:szCs w:val="22"/>
          <w:lang w:val="tr-TR" w:eastAsia="tr-TR"/>
          <w14:ligatures w14:val="none"/>
        </w:rPr>
        <w:t xml:space="preserve">Binus University </w:t>
      </w:r>
      <w:r w:rsidRPr="00F15FF0">
        <w:rPr>
          <w:rFonts w:ascii="Arial" w:eastAsia="Times New Roman" w:hAnsi="Arial" w:cs="Arial"/>
          <w:b/>
          <w:bCs/>
          <w:kern w:val="0"/>
          <w:sz w:val="22"/>
          <w:szCs w:val="22"/>
          <w:lang w:val="tr-TR" w:eastAsia="tr-TR"/>
          <w14:ligatures w14:val="none"/>
        </w:rPr>
        <w:t>and Brawijaya University</w:t>
      </w:r>
      <w:r w:rsidR="00341A90">
        <w:rPr>
          <w:rFonts w:ascii="Arial" w:eastAsia="Times New Roman" w:hAnsi="Arial" w:cs="Arial"/>
          <w:b/>
          <w:bCs/>
          <w:kern w:val="0"/>
          <w:sz w:val="22"/>
          <w:szCs w:val="22"/>
          <w:lang w:val="tr-TR" w:eastAsia="tr-TR"/>
          <w14:ligatures w14:val="none"/>
        </w:rPr>
        <w:t xml:space="preserve">. </w:t>
      </w:r>
      <w:r w:rsidRPr="00F15FF0">
        <w:rPr>
          <w:rFonts w:ascii="Arial" w:eastAsia="Times New Roman" w:hAnsi="Arial" w:cs="Arial"/>
          <w:b/>
          <w:bCs/>
          <w:kern w:val="0"/>
          <w:sz w:val="22"/>
          <w:szCs w:val="22"/>
          <w:lang w:val="tr-TR" w:eastAsia="tr-TR"/>
          <w14:ligatures w14:val="none"/>
        </w:rPr>
        <w:t>Distinguished Academics, Researchers, Industry Representatives, Dear Students, and Valued Guests joining us from around the world;</w:t>
      </w:r>
    </w:p>
    <w:p w14:paraId="380E9BEF" w14:textId="77777777" w:rsidR="00F15FF0" w:rsidRPr="00F15FF0" w:rsidRDefault="00F15FF0" w:rsidP="00F15FF0">
      <w:pPr>
        <w:spacing w:before="100" w:beforeAutospacing="1" w:after="100" w:afterAutospacing="1" w:line="240" w:lineRule="auto"/>
        <w:jc w:val="both"/>
        <w:rPr>
          <w:rFonts w:ascii="Arial" w:eastAsia="Times New Roman" w:hAnsi="Arial" w:cs="Arial"/>
          <w:kern w:val="0"/>
          <w:sz w:val="22"/>
          <w:szCs w:val="22"/>
          <w:lang w:val="tr-TR" w:eastAsia="tr-TR"/>
          <w14:ligatures w14:val="none"/>
        </w:rPr>
      </w:pPr>
      <w:r w:rsidRPr="00F15FF0">
        <w:rPr>
          <w:rFonts w:ascii="Arial" w:eastAsia="Times New Roman" w:hAnsi="Arial" w:cs="Arial"/>
          <w:kern w:val="0"/>
          <w:sz w:val="22"/>
          <w:szCs w:val="22"/>
          <w:lang w:val="tr-TR" w:eastAsia="tr-TR"/>
          <w14:ligatures w14:val="none"/>
        </w:rPr>
        <w:t xml:space="preserve">It is my great pleasure to welcome you all, on behalf of Istanbul Gelisim University, to the </w:t>
      </w:r>
      <w:r w:rsidRPr="00F15FF0">
        <w:rPr>
          <w:rFonts w:ascii="Arial" w:eastAsia="Times New Roman" w:hAnsi="Arial" w:cs="Arial"/>
          <w:b/>
          <w:bCs/>
          <w:kern w:val="0"/>
          <w:sz w:val="22"/>
          <w:szCs w:val="22"/>
          <w:lang w:val="tr-TR" w:eastAsia="tr-TR"/>
          <w14:ligatures w14:val="none"/>
        </w:rPr>
        <w:t>International Conference on Information Systems and Intelligent Technologies (INSIGHT 2026).</w:t>
      </w:r>
    </w:p>
    <w:p w14:paraId="2380EE93" w14:textId="0249D7AA" w:rsidR="00F15FF0" w:rsidRPr="00F15FF0" w:rsidRDefault="00F15FF0" w:rsidP="00F15FF0">
      <w:pPr>
        <w:spacing w:before="100" w:beforeAutospacing="1" w:after="100" w:afterAutospacing="1" w:line="240" w:lineRule="auto"/>
        <w:jc w:val="both"/>
        <w:rPr>
          <w:rFonts w:ascii="Arial" w:eastAsia="Times New Roman" w:hAnsi="Arial" w:cs="Arial"/>
          <w:kern w:val="0"/>
          <w:sz w:val="22"/>
          <w:szCs w:val="22"/>
          <w:lang w:val="tr-TR" w:eastAsia="tr-TR"/>
          <w14:ligatures w14:val="none"/>
        </w:rPr>
      </w:pPr>
      <w:r w:rsidRPr="00F15FF0">
        <w:rPr>
          <w:rFonts w:ascii="Arial" w:eastAsia="Times New Roman" w:hAnsi="Arial" w:cs="Arial"/>
          <w:kern w:val="0"/>
          <w:sz w:val="22"/>
          <w:szCs w:val="22"/>
          <w:lang w:val="tr-TR" w:eastAsia="tr-TR"/>
          <w14:ligatures w14:val="none"/>
        </w:rPr>
        <w:t>We are truly honored to host this international conference in collaboration with our esteemed partners</w:t>
      </w:r>
      <w:r w:rsidR="00341A90">
        <w:rPr>
          <w:rFonts w:ascii="Arial" w:eastAsia="Times New Roman" w:hAnsi="Arial" w:cs="Arial"/>
          <w:kern w:val="0"/>
          <w:sz w:val="22"/>
          <w:szCs w:val="22"/>
          <w:lang w:val="tr-TR" w:eastAsia="tr-TR"/>
          <w14:ligatures w14:val="none"/>
        </w:rPr>
        <w:t xml:space="preserve"> </w:t>
      </w:r>
      <w:r w:rsidRPr="00F15FF0">
        <w:rPr>
          <w:rFonts w:ascii="Arial" w:eastAsia="Times New Roman" w:hAnsi="Arial" w:cs="Arial"/>
          <w:b/>
          <w:bCs/>
          <w:kern w:val="0"/>
          <w:sz w:val="22"/>
          <w:szCs w:val="22"/>
          <w:lang w:val="tr-TR" w:eastAsia="tr-TR"/>
          <w14:ligatures w14:val="none"/>
        </w:rPr>
        <w:t>Universiti Tun Hussein</w:t>
      </w:r>
      <w:r w:rsidR="00341A90">
        <w:rPr>
          <w:rFonts w:ascii="Arial" w:eastAsia="Times New Roman" w:hAnsi="Arial" w:cs="Arial"/>
          <w:b/>
          <w:bCs/>
          <w:kern w:val="0"/>
          <w:sz w:val="22"/>
          <w:szCs w:val="22"/>
          <w:lang w:val="tr-TR" w:eastAsia="tr-TR"/>
          <w14:ligatures w14:val="none"/>
        </w:rPr>
        <w:t xml:space="preserve"> Onn</w:t>
      </w:r>
      <w:r w:rsidRPr="00F15FF0">
        <w:rPr>
          <w:rFonts w:ascii="Arial" w:eastAsia="Times New Roman" w:hAnsi="Arial" w:cs="Arial"/>
          <w:b/>
          <w:bCs/>
          <w:kern w:val="0"/>
          <w:sz w:val="22"/>
          <w:szCs w:val="22"/>
          <w:lang w:val="tr-TR" w:eastAsia="tr-TR"/>
          <w14:ligatures w14:val="none"/>
        </w:rPr>
        <w:t xml:space="preserve"> Malaysia, Asia Pacific Research and Knowledge Network, Centro Algoritmi, </w:t>
      </w:r>
      <w:r>
        <w:rPr>
          <w:rFonts w:ascii="Arial" w:eastAsia="Times New Roman" w:hAnsi="Arial" w:cs="Arial"/>
          <w:b/>
          <w:bCs/>
          <w:kern w:val="0"/>
          <w:sz w:val="22"/>
          <w:szCs w:val="22"/>
          <w:lang w:val="tr-TR" w:eastAsia="tr-TR"/>
          <w14:ligatures w14:val="none"/>
        </w:rPr>
        <w:t xml:space="preserve">Binus University </w:t>
      </w:r>
      <w:r w:rsidRPr="00F15FF0">
        <w:rPr>
          <w:rFonts w:ascii="Arial" w:eastAsia="Times New Roman" w:hAnsi="Arial" w:cs="Arial"/>
          <w:b/>
          <w:bCs/>
          <w:kern w:val="0"/>
          <w:sz w:val="22"/>
          <w:szCs w:val="22"/>
          <w:lang w:val="tr-TR" w:eastAsia="tr-TR"/>
          <w14:ligatures w14:val="none"/>
        </w:rPr>
        <w:t>and Brawijaya University</w:t>
      </w:r>
      <w:r w:rsidRPr="00F15FF0">
        <w:rPr>
          <w:rFonts w:ascii="Arial" w:eastAsia="Times New Roman" w:hAnsi="Arial" w:cs="Arial"/>
          <w:kern w:val="0"/>
          <w:sz w:val="22"/>
          <w:szCs w:val="22"/>
          <w:lang w:val="tr-TR" w:eastAsia="tr-TR"/>
          <w14:ligatures w14:val="none"/>
        </w:rPr>
        <w:t>. It is a privilege to welcome all of you to our university and to share this important academic platform together.</w:t>
      </w:r>
    </w:p>
    <w:p w14:paraId="244D5392" w14:textId="77777777" w:rsidR="00F15FF0" w:rsidRPr="00F15FF0" w:rsidRDefault="00F15FF0" w:rsidP="00F15FF0">
      <w:pPr>
        <w:spacing w:before="100" w:beforeAutospacing="1" w:after="100" w:afterAutospacing="1" w:line="240" w:lineRule="auto"/>
        <w:jc w:val="both"/>
        <w:rPr>
          <w:rFonts w:ascii="Arial" w:eastAsia="Times New Roman" w:hAnsi="Arial" w:cs="Arial"/>
          <w:kern w:val="0"/>
          <w:sz w:val="22"/>
          <w:szCs w:val="22"/>
          <w:lang w:val="tr-TR" w:eastAsia="tr-TR"/>
          <w14:ligatures w14:val="none"/>
        </w:rPr>
      </w:pPr>
      <w:r w:rsidRPr="00F15FF0">
        <w:rPr>
          <w:rFonts w:ascii="Arial" w:eastAsia="Times New Roman" w:hAnsi="Arial" w:cs="Arial"/>
          <w:kern w:val="0"/>
          <w:sz w:val="22"/>
          <w:szCs w:val="22"/>
          <w:lang w:val="tr-TR" w:eastAsia="tr-TR"/>
          <w14:ligatures w14:val="none"/>
        </w:rPr>
        <w:t>Today, we gather not only to present our latest research findings but also to exchange ideas, strengthen international collaborations, and collectively shape the future of information systems and artificial intelligence.</w:t>
      </w:r>
    </w:p>
    <w:p w14:paraId="458BDD88" w14:textId="77777777" w:rsidR="00F15FF0" w:rsidRPr="00F15FF0" w:rsidRDefault="00F15FF0" w:rsidP="00F15FF0">
      <w:pPr>
        <w:spacing w:before="100" w:beforeAutospacing="1" w:after="100" w:afterAutospacing="1" w:line="240" w:lineRule="auto"/>
        <w:jc w:val="both"/>
        <w:rPr>
          <w:rFonts w:ascii="Arial" w:eastAsia="Times New Roman" w:hAnsi="Arial" w:cs="Arial"/>
          <w:kern w:val="0"/>
          <w:sz w:val="22"/>
          <w:szCs w:val="22"/>
          <w:lang w:val="tr-TR" w:eastAsia="tr-TR"/>
          <w14:ligatures w14:val="none"/>
        </w:rPr>
      </w:pPr>
      <w:r w:rsidRPr="00F15FF0">
        <w:rPr>
          <w:rFonts w:ascii="Arial" w:eastAsia="Times New Roman" w:hAnsi="Arial" w:cs="Arial"/>
          <w:b/>
          <w:bCs/>
          <w:kern w:val="0"/>
          <w:sz w:val="22"/>
          <w:szCs w:val="22"/>
          <w:lang w:val="tr-TR" w:eastAsia="tr-TR"/>
          <w14:ligatures w14:val="none"/>
        </w:rPr>
        <w:t>Distinguished Guests,</w:t>
      </w:r>
    </w:p>
    <w:p w14:paraId="21BE8DEA" w14:textId="77777777" w:rsidR="00F15FF0" w:rsidRPr="00F15FF0" w:rsidRDefault="00F15FF0" w:rsidP="00F15FF0">
      <w:pPr>
        <w:spacing w:before="100" w:beforeAutospacing="1" w:after="100" w:afterAutospacing="1" w:line="240" w:lineRule="auto"/>
        <w:jc w:val="both"/>
        <w:rPr>
          <w:rFonts w:ascii="Arial" w:eastAsia="Times New Roman" w:hAnsi="Arial" w:cs="Arial"/>
          <w:kern w:val="0"/>
          <w:sz w:val="22"/>
          <w:szCs w:val="22"/>
          <w:lang w:val="tr-TR" w:eastAsia="tr-TR"/>
          <w14:ligatures w14:val="none"/>
        </w:rPr>
      </w:pPr>
      <w:r w:rsidRPr="00F15FF0">
        <w:rPr>
          <w:rFonts w:ascii="Arial" w:eastAsia="Times New Roman" w:hAnsi="Arial" w:cs="Arial"/>
          <w:kern w:val="0"/>
          <w:sz w:val="22"/>
          <w:szCs w:val="22"/>
          <w:lang w:val="tr-TR" w:eastAsia="tr-TR"/>
          <w14:ligatures w14:val="none"/>
        </w:rPr>
        <w:t>Information systems and artificial intelligence have become far more than technological tools. Today, they are strategic enablers of sustainable development, economic growth, organizational resilience, and social well-being. Their influence extends well beyond engineering and computer science, transforming business, education, healthcare, public administration, and virtually every sector of society.</w:t>
      </w:r>
    </w:p>
    <w:p w14:paraId="265705E1" w14:textId="77777777" w:rsidR="00F15FF0" w:rsidRPr="00F15FF0" w:rsidRDefault="00F15FF0" w:rsidP="00F15FF0">
      <w:pPr>
        <w:spacing w:before="100" w:beforeAutospacing="1" w:after="100" w:afterAutospacing="1" w:line="240" w:lineRule="auto"/>
        <w:jc w:val="both"/>
        <w:rPr>
          <w:rFonts w:ascii="Arial" w:eastAsia="Times New Roman" w:hAnsi="Arial" w:cs="Arial"/>
          <w:kern w:val="0"/>
          <w:sz w:val="22"/>
          <w:szCs w:val="22"/>
          <w:lang w:val="tr-TR" w:eastAsia="tr-TR"/>
          <w14:ligatures w14:val="none"/>
        </w:rPr>
      </w:pPr>
      <w:r w:rsidRPr="00F15FF0">
        <w:rPr>
          <w:rFonts w:ascii="Arial" w:eastAsia="Times New Roman" w:hAnsi="Arial" w:cs="Arial"/>
          <w:kern w:val="0"/>
          <w:sz w:val="22"/>
          <w:szCs w:val="22"/>
          <w:lang w:val="tr-TR" w:eastAsia="tr-TR"/>
          <w14:ligatures w14:val="none"/>
        </w:rPr>
        <w:t xml:space="preserve">In this context, the theme of this year's conference, </w:t>
      </w:r>
      <w:r w:rsidRPr="00F15FF0">
        <w:rPr>
          <w:rFonts w:ascii="Arial" w:eastAsia="Times New Roman" w:hAnsi="Arial" w:cs="Arial"/>
          <w:b/>
          <w:bCs/>
          <w:kern w:val="0"/>
          <w:sz w:val="22"/>
          <w:szCs w:val="22"/>
          <w:lang w:val="tr-TR" w:eastAsia="tr-TR"/>
          <w14:ligatures w14:val="none"/>
        </w:rPr>
        <w:t>"Integrating Information Systems and Artificial Intelligence Technology for Sustainable Innovation and Development,"</w:t>
      </w:r>
      <w:r w:rsidRPr="00F15FF0">
        <w:rPr>
          <w:rFonts w:ascii="Arial" w:eastAsia="Times New Roman" w:hAnsi="Arial" w:cs="Arial"/>
          <w:kern w:val="0"/>
          <w:sz w:val="22"/>
          <w:szCs w:val="22"/>
          <w:lang w:val="tr-TR" w:eastAsia="tr-TR"/>
          <w14:ligatures w14:val="none"/>
        </w:rPr>
        <w:t xml:space="preserve"> reflects not only today's technological priorities but also our shared responsibility for the future. Ensuring that artificial intelligence is developed and implemented in an ethical, trustworthy, and sustainable manner has become a common objective for academia, industry, and policymakers alike.</w:t>
      </w:r>
    </w:p>
    <w:p w14:paraId="7389413B" w14:textId="77777777" w:rsidR="00F15FF0" w:rsidRPr="00F15FF0" w:rsidRDefault="00F15FF0" w:rsidP="00F15FF0">
      <w:pPr>
        <w:spacing w:before="100" w:beforeAutospacing="1" w:after="100" w:afterAutospacing="1" w:line="240" w:lineRule="auto"/>
        <w:jc w:val="both"/>
        <w:rPr>
          <w:rFonts w:ascii="Arial" w:eastAsia="Times New Roman" w:hAnsi="Arial" w:cs="Arial"/>
          <w:kern w:val="0"/>
          <w:sz w:val="22"/>
          <w:szCs w:val="22"/>
          <w:lang w:val="tr-TR" w:eastAsia="tr-TR"/>
          <w14:ligatures w14:val="none"/>
        </w:rPr>
      </w:pPr>
      <w:r w:rsidRPr="00F15FF0">
        <w:rPr>
          <w:rFonts w:ascii="Arial" w:eastAsia="Times New Roman" w:hAnsi="Arial" w:cs="Arial"/>
          <w:kern w:val="0"/>
          <w:sz w:val="22"/>
          <w:szCs w:val="22"/>
          <w:lang w:val="tr-TR" w:eastAsia="tr-TR"/>
          <w14:ligatures w14:val="none"/>
        </w:rPr>
        <w:t>Over the next two days, INSIGHT 2026 will provide an inspiring platform for discussing a broad spectrum of emerging topics, including artificial intelligence and machine learning, big data analytics, digital transformation strategies, blockchain technologies, cloud computing, the Internet of Things, cybersecurity, smart cities, digital governance, Industry 4.0, and AI-enhanced education.</w:t>
      </w:r>
    </w:p>
    <w:p w14:paraId="739872FC" w14:textId="77777777" w:rsidR="00F15FF0" w:rsidRPr="00F15FF0" w:rsidRDefault="00F15FF0" w:rsidP="00F15FF0">
      <w:pPr>
        <w:spacing w:before="100" w:beforeAutospacing="1" w:after="100" w:afterAutospacing="1" w:line="240" w:lineRule="auto"/>
        <w:jc w:val="both"/>
        <w:rPr>
          <w:rFonts w:ascii="Arial" w:eastAsia="Times New Roman" w:hAnsi="Arial" w:cs="Arial"/>
          <w:kern w:val="0"/>
          <w:sz w:val="22"/>
          <w:szCs w:val="22"/>
          <w:lang w:val="tr-TR" w:eastAsia="tr-TR"/>
          <w14:ligatures w14:val="none"/>
        </w:rPr>
      </w:pPr>
      <w:r w:rsidRPr="00F15FF0">
        <w:rPr>
          <w:rFonts w:ascii="Arial" w:eastAsia="Times New Roman" w:hAnsi="Arial" w:cs="Arial"/>
          <w:kern w:val="0"/>
          <w:sz w:val="22"/>
          <w:szCs w:val="22"/>
          <w:lang w:val="tr-TR" w:eastAsia="tr-TR"/>
          <w14:ligatures w14:val="none"/>
        </w:rPr>
        <w:t>However, I believe the greatest value of INSIGHT 2026 lies beyond the research papers that will be presented. The true success of this conference will be measured by the new ideas it inspires, the international collaborations it initiates, and the interdisciplinary partnerships it fosters. Scientific progress flourishes when diverse perspectives, cultures, and expertise come together to address global challenges.</w:t>
      </w:r>
    </w:p>
    <w:p w14:paraId="3A8025CF" w14:textId="77777777" w:rsidR="00F15FF0" w:rsidRPr="00F15FF0" w:rsidRDefault="00F15FF0" w:rsidP="00F15FF0">
      <w:pPr>
        <w:spacing w:before="100" w:beforeAutospacing="1" w:after="100" w:afterAutospacing="1" w:line="240" w:lineRule="auto"/>
        <w:jc w:val="both"/>
        <w:rPr>
          <w:rFonts w:ascii="Arial" w:eastAsia="Times New Roman" w:hAnsi="Arial" w:cs="Arial"/>
          <w:kern w:val="0"/>
          <w:sz w:val="22"/>
          <w:szCs w:val="22"/>
          <w:lang w:val="tr-TR" w:eastAsia="tr-TR"/>
          <w14:ligatures w14:val="none"/>
        </w:rPr>
      </w:pPr>
      <w:r w:rsidRPr="00F15FF0">
        <w:rPr>
          <w:rFonts w:ascii="Arial" w:eastAsia="Times New Roman" w:hAnsi="Arial" w:cs="Arial"/>
          <w:kern w:val="0"/>
          <w:sz w:val="22"/>
          <w:szCs w:val="22"/>
          <w:lang w:val="tr-TR" w:eastAsia="tr-TR"/>
          <w14:ligatures w14:val="none"/>
        </w:rPr>
        <w:lastRenderedPageBreak/>
        <w:t>At Istanbul Gelisim University, we are firmly committed to research excellence, internationalization, and interdisciplinary collaboration. Supporting scientific research and creating opportunities for global academic engagement remain among our highest priorities. Conferences such as INSIGHT 2026 play a vital role in advancing these objectives by encouraging knowledge exchange and establishing long-lasting international research partnerships.</w:t>
      </w:r>
    </w:p>
    <w:p w14:paraId="61373E34" w14:textId="77777777" w:rsidR="00F15FF0" w:rsidRPr="00F15FF0" w:rsidRDefault="00F15FF0" w:rsidP="00F15FF0">
      <w:pPr>
        <w:spacing w:before="100" w:beforeAutospacing="1" w:after="100" w:afterAutospacing="1" w:line="240" w:lineRule="auto"/>
        <w:jc w:val="both"/>
        <w:rPr>
          <w:rFonts w:ascii="Arial" w:eastAsia="Times New Roman" w:hAnsi="Arial" w:cs="Arial"/>
          <w:kern w:val="0"/>
          <w:sz w:val="22"/>
          <w:szCs w:val="22"/>
          <w:lang w:val="tr-TR" w:eastAsia="tr-TR"/>
          <w14:ligatures w14:val="none"/>
        </w:rPr>
      </w:pPr>
      <w:r w:rsidRPr="00F15FF0">
        <w:rPr>
          <w:rFonts w:ascii="Arial" w:eastAsia="Times New Roman" w:hAnsi="Arial" w:cs="Arial"/>
          <w:kern w:val="0"/>
          <w:sz w:val="22"/>
          <w:szCs w:val="22"/>
          <w:lang w:val="tr-TR" w:eastAsia="tr-TR"/>
          <w14:ligatures w14:val="none"/>
        </w:rPr>
        <w:t xml:space="preserve">We are also delighted that the accepted papers presented at INSIGHT 2026 will be published in </w:t>
      </w:r>
      <w:r w:rsidRPr="00F15FF0">
        <w:rPr>
          <w:rFonts w:ascii="Arial" w:eastAsia="Times New Roman" w:hAnsi="Arial" w:cs="Arial"/>
          <w:b/>
          <w:bCs/>
          <w:kern w:val="0"/>
          <w:sz w:val="22"/>
          <w:szCs w:val="22"/>
          <w:lang w:val="tr-TR" w:eastAsia="tr-TR"/>
          <w14:ligatures w14:val="none"/>
        </w:rPr>
        <w:t>Springer's Lecture Notes in Networks and Systems (LNNS)</w:t>
      </w:r>
      <w:r w:rsidRPr="00F15FF0">
        <w:rPr>
          <w:rFonts w:ascii="Arial" w:eastAsia="Times New Roman" w:hAnsi="Arial" w:cs="Arial"/>
          <w:kern w:val="0"/>
          <w:sz w:val="22"/>
          <w:szCs w:val="22"/>
          <w:lang w:val="tr-TR" w:eastAsia="tr-TR"/>
          <w14:ligatures w14:val="none"/>
        </w:rPr>
        <w:t xml:space="preserve"> series, providing participants with valuable international visibility and contributing to the dissemination of high-quality scientific research.</w:t>
      </w:r>
    </w:p>
    <w:p w14:paraId="1F5A4016" w14:textId="77777777" w:rsidR="00F15FF0" w:rsidRPr="00F15FF0" w:rsidRDefault="00F15FF0" w:rsidP="00F15FF0">
      <w:pPr>
        <w:spacing w:before="100" w:beforeAutospacing="1" w:after="100" w:afterAutospacing="1" w:line="240" w:lineRule="auto"/>
        <w:jc w:val="both"/>
        <w:rPr>
          <w:rFonts w:ascii="Arial" w:eastAsia="Times New Roman" w:hAnsi="Arial" w:cs="Arial"/>
          <w:kern w:val="0"/>
          <w:sz w:val="22"/>
          <w:szCs w:val="22"/>
          <w:lang w:val="tr-TR" w:eastAsia="tr-TR"/>
          <w14:ligatures w14:val="none"/>
        </w:rPr>
      </w:pPr>
      <w:r w:rsidRPr="00F15FF0">
        <w:rPr>
          <w:rFonts w:ascii="Arial" w:eastAsia="Times New Roman" w:hAnsi="Arial" w:cs="Arial"/>
          <w:b/>
          <w:bCs/>
          <w:kern w:val="0"/>
          <w:sz w:val="22"/>
          <w:szCs w:val="22"/>
          <w:lang w:val="tr-TR" w:eastAsia="tr-TR"/>
          <w14:ligatures w14:val="none"/>
        </w:rPr>
        <w:t>Dear Colleagues, Distinguished Guests,</w:t>
      </w:r>
    </w:p>
    <w:p w14:paraId="645954BF" w14:textId="77777777" w:rsidR="00F15FF0" w:rsidRPr="00F15FF0" w:rsidRDefault="00F15FF0" w:rsidP="00F15FF0">
      <w:pPr>
        <w:spacing w:before="100" w:beforeAutospacing="1" w:after="100" w:afterAutospacing="1" w:line="240" w:lineRule="auto"/>
        <w:jc w:val="both"/>
        <w:rPr>
          <w:rFonts w:ascii="Arial" w:eastAsia="Times New Roman" w:hAnsi="Arial" w:cs="Arial"/>
          <w:kern w:val="0"/>
          <w:sz w:val="22"/>
          <w:szCs w:val="22"/>
          <w:lang w:val="tr-TR" w:eastAsia="tr-TR"/>
          <w14:ligatures w14:val="none"/>
        </w:rPr>
      </w:pPr>
      <w:r w:rsidRPr="00F15FF0">
        <w:rPr>
          <w:rFonts w:ascii="Arial" w:eastAsia="Times New Roman" w:hAnsi="Arial" w:cs="Arial"/>
          <w:kern w:val="0"/>
          <w:sz w:val="22"/>
          <w:szCs w:val="22"/>
          <w:lang w:val="tr-TR" w:eastAsia="tr-TR"/>
          <w14:ligatures w14:val="none"/>
        </w:rPr>
        <w:t>Science is a universal language that transcends geographical boundaries, cultures, and disciplines. Gatherings such as this not only advance knowledge but also strengthen mutual understanding, encourage innovation, and build lasting academic relationships that contribute to a more sustainable and inclusive future.</w:t>
      </w:r>
    </w:p>
    <w:p w14:paraId="52150B89" w14:textId="77777777" w:rsidR="00F15FF0" w:rsidRPr="00F15FF0" w:rsidRDefault="00F15FF0" w:rsidP="00F15FF0">
      <w:pPr>
        <w:spacing w:before="100" w:beforeAutospacing="1" w:after="100" w:afterAutospacing="1" w:line="240" w:lineRule="auto"/>
        <w:jc w:val="both"/>
        <w:rPr>
          <w:rFonts w:ascii="Arial" w:eastAsia="Times New Roman" w:hAnsi="Arial" w:cs="Arial"/>
          <w:kern w:val="0"/>
          <w:sz w:val="22"/>
          <w:szCs w:val="22"/>
          <w:lang w:val="tr-TR" w:eastAsia="tr-TR"/>
          <w14:ligatures w14:val="none"/>
        </w:rPr>
      </w:pPr>
      <w:r w:rsidRPr="00F15FF0">
        <w:rPr>
          <w:rFonts w:ascii="Arial" w:eastAsia="Times New Roman" w:hAnsi="Arial" w:cs="Arial"/>
          <w:kern w:val="0"/>
          <w:sz w:val="22"/>
          <w:szCs w:val="22"/>
          <w:lang w:val="tr-TR" w:eastAsia="tr-TR"/>
          <w14:ligatures w14:val="none"/>
        </w:rPr>
        <w:t>On this occasion, I would like to express my sincere gratitude to our conference partners, the members of the scientific committee, reviewers, organizing committee, and everyone whose dedication and hard work have made INSIGHT 2026 possible. My heartfelt thanks also go to all authors, presenters, and participants for sharing their valuable knowledge and expertise with us.</w:t>
      </w:r>
    </w:p>
    <w:p w14:paraId="0C68730B" w14:textId="77777777" w:rsidR="00F15FF0" w:rsidRPr="00F15FF0" w:rsidRDefault="00F15FF0" w:rsidP="00F15FF0">
      <w:pPr>
        <w:spacing w:before="100" w:beforeAutospacing="1" w:after="100" w:afterAutospacing="1" w:line="240" w:lineRule="auto"/>
        <w:jc w:val="both"/>
        <w:rPr>
          <w:rFonts w:ascii="Arial" w:eastAsia="Times New Roman" w:hAnsi="Arial" w:cs="Arial"/>
          <w:kern w:val="0"/>
          <w:sz w:val="22"/>
          <w:szCs w:val="22"/>
          <w:lang w:val="tr-TR" w:eastAsia="tr-TR"/>
          <w14:ligatures w14:val="none"/>
        </w:rPr>
      </w:pPr>
      <w:r w:rsidRPr="00F15FF0">
        <w:rPr>
          <w:rFonts w:ascii="Arial" w:eastAsia="Times New Roman" w:hAnsi="Arial" w:cs="Arial"/>
          <w:kern w:val="0"/>
          <w:sz w:val="22"/>
          <w:szCs w:val="22"/>
          <w:lang w:val="tr-TR" w:eastAsia="tr-TR"/>
          <w14:ligatures w14:val="none"/>
        </w:rPr>
        <w:t>I sincerely hope that INSIGHT 2026 will inspire meaningful discussions, foster innovative collaborations, and contribute significantly to the advancement of information systems and artificial intelligence research.</w:t>
      </w:r>
    </w:p>
    <w:p w14:paraId="1E123288" w14:textId="77777777" w:rsidR="00F15FF0" w:rsidRPr="00F15FF0" w:rsidRDefault="00F15FF0" w:rsidP="00F15FF0">
      <w:pPr>
        <w:spacing w:before="100" w:beforeAutospacing="1" w:after="100" w:afterAutospacing="1" w:line="240" w:lineRule="auto"/>
        <w:jc w:val="both"/>
        <w:rPr>
          <w:rFonts w:ascii="Arial" w:eastAsia="Times New Roman" w:hAnsi="Arial" w:cs="Arial"/>
          <w:kern w:val="0"/>
          <w:sz w:val="22"/>
          <w:szCs w:val="22"/>
          <w:lang w:val="tr-TR" w:eastAsia="tr-TR"/>
          <w14:ligatures w14:val="none"/>
        </w:rPr>
      </w:pPr>
      <w:r w:rsidRPr="00F15FF0">
        <w:rPr>
          <w:rFonts w:ascii="Arial" w:eastAsia="Times New Roman" w:hAnsi="Arial" w:cs="Arial"/>
          <w:kern w:val="0"/>
          <w:sz w:val="22"/>
          <w:szCs w:val="22"/>
          <w:lang w:val="tr-TR" w:eastAsia="tr-TR"/>
          <w14:ligatures w14:val="none"/>
        </w:rPr>
        <w:t>Thank you once again for your participation and valuable contributions.</w:t>
      </w:r>
    </w:p>
    <w:p w14:paraId="3B295476" w14:textId="77777777" w:rsidR="00F15FF0" w:rsidRPr="00F15FF0" w:rsidRDefault="00F15FF0" w:rsidP="00F15FF0">
      <w:pPr>
        <w:spacing w:before="100" w:beforeAutospacing="1" w:after="100" w:afterAutospacing="1" w:line="240" w:lineRule="auto"/>
        <w:jc w:val="both"/>
        <w:rPr>
          <w:rFonts w:ascii="Arial" w:eastAsia="Times New Roman" w:hAnsi="Arial" w:cs="Arial"/>
          <w:kern w:val="0"/>
          <w:sz w:val="22"/>
          <w:szCs w:val="22"/>
          <w:lang w:val="tr-TR" w:eastAsia="tr-TR"/>
          <w14:ligatures w14:val="none"/>
        </w:rPr>
      </w:pPr>
      <w:r w:rsidRPr="00F15FF0">
        <w:rPr>
          <w:rFonts w:ascii="Arial" w:eastAsia="Times New Roman" w:hAnsi="Arial" w:cs="Arial"/>
          <w:kern w:val="0"/>
          <w:sz w:val="22"/>
          <w:szCs w:val="22"/>
          <w:lang w:val="tr-TR" w:eastAsia="tr-TR"/>
          <w14:ligatures w14:val="none"/>
        </w:rPr>
        <w:t>I wish you all a productive, inspiring, and successful conference.</w:t>
      </w:r>
    </w:p>
    <w:p w14:paraId="3B9A1087" w14:textId="77777777" w:rsidR="00F15FF0" w:rsidRPr="00F15FF0" w:rsidRDefault="00F15FF0" w:rsidP="00F15FF0">
      <w:pPr>
        <w:spacing w:before="100" w:beforeAutospacing="1" w:after="100" w:afterAutospacing="1" w:line="240" w:lineRule="auto"/>
        <w:jc w:val="both"/>
        <w:rPr>
          <w:rFonts w:ascii="Arial" w:eastAsia="Times New Roman" w:hAnsi="Arial" w:cs="Arial"/>
          <w:kern w:val="0"/>
          <w:sz w:val="22"/>
          <w:szCs w:val="22"/>
          <w:lang w:val="tr-TR" w:eastAsia="tr-TR"/>
          <w14:ligatures w14:val="none"/>
        </w:rPr>
      </w:pPr>
      <w:r w:rsidRPr="00F15FF0">
        <w:rPr>
          <w:rFonts w:ascii="Arial" w:eastAsia="Times New Roman" w:hAnsi="Arial" w:cs="Arial"/>
          <w:b/>
          <w:bCs/>
          <w:kern w:val="0"/>
          <w:sz w:val="22"/>
          <w:szCs w:val="22"/>
          <w:lang w:val="tr-TR" w:eastAsia="tr-TR"/>
          <w14:ligatures w14:val="none"/>
        </w:rPr>
        <w:t>Thank you.</w:t>
      </w:r>
    </w:p>
    <w:p w14:paraId="7CABE4ED" w14:textId="77777777" w:rsidR="00F15FF0" w:rsidRPr="00F15FF0" w:rsidRDefault="00F15FF0" w:rsidP="00054431">
      <w:pPr>
        <w:spacing w:after="0" w:line="240" w:lineRule="auto"/>
        <w:jc w:val="center"/>
        <w:rPr>
          <w:rFonts w:ascii="Arial" w:eastAsia="Aptos" w:hAnsi="Arial" w:cs="Arial"/>
          <w:b/>
          <w:bCs/>
          <w:sz w:val="22"/>
          <w:szCs w:val="22"/>
        </w:rPr>
      </w:pPr>
    </w:p>
    <w:p w14:paraId="125019B1" w14:textId="4D14A4B4" w:rsidR="00F15FF0" w:rsidRPr="00F15FF0" w:rsidRDefault="00F15FF0">
      <w:pPr>
        <w:rPr>
          <w:rFonts w:ascii="Arial" w:eastAsia="Aptos" w:hAnsi="Arial" w:cs="Arial"/>
          <w:b/>
          <w:bCs/>
          <w:sz w:val="22"/>
          <w:szCs w:val="22"/>
        </w:rPr>
      </w:pPr>
      <w:r w:rsidRPr="00F15FF0">
        <w:rPr>
          <w:rFonts w:ascii="Arial" w:eastAsia="Aptos" w:hAnsi="Arial" w:cs="Arial"/>
          <w:b/>
          <w:bCs/>
          <w:sz w:val="22"/>
          <w:szCs w:val="22"/>
        </w:rPr>
        <w:br w:type="page"/>
      </w:r>
    </w:p>
    <w:p w14:paraId="2BFF73F8" w14:textId="77777777" w:rsidR="00F15FF0" w:rsidRDefault="00F15FF0" w:rsidP="00054431">
      <w:pPr>
        <w:spacing w:after="0" w:line="240" w:lineRule="auto"/>
        <w:jc w:val="center"/>
        <w:rPr>
          <w:rFonts w:ascii="Arial" w:eastAsia="Aptos" w:hAnsi="Arial" w:cs="Arial"/>
          <w:b/>
          <w:bCs/>
          <w:sz w:val="22"/>
          <w:szCs w:val="22"/>
        </w:rPr>
      </w:pPr>
    </w:p>
    <w:p w14:paraId="10BA3527" w14:textId="39042980" w:rsidR="00054431" w:rsidRDefault="00054431" w:rsidP="00F15FF0">
      <w:pPr>
        <w:spacing w:after="0" w:line="240" w:lineRule="auto"/>
        <w:rPr>
          <w:rFonts w:ascii="Arial" w:eastAsia="Aptos" w:hAnsi="Arial" w:cs="Arial"/>
          <w:b/>
          <w:bCs/>
          <w:sz w:val="22"/>
          <w:szCs w:val="22"/>
        </w:rPr>
      </w:pPr>
      <w:r w:rsidRPr="00A95F91">
        <w:rPr>
          <w:rFonts w:ascii="Arial" w:eastAsia="Aptos" w:hAnsi="Arial" w:cs="Arial"/>
          <w:b/>
          <w:bCs/>
          <w:sz w:val="22"/>
          <w:szCs w:val="22"/>
        </w:rPr>
        <w:t>O</w:t>
      </w:r>
      <w:r w:rsidR="00F15FF0">
        <w:rPr>
          <w:rFonts w:ascii="Arial" w:eastAsia="Aptos" w:hAnsi="Arial" w:cs="Arial"/>
          <w:b/>
          <w:bCs/>
          <w:sz w:val="22"/>
          <w:szCs w:val="22"/>
        </w:rPr>
        <w:t>PENING REMARKS</w:t>
      </w:r>
    </w:p>
    <w:p w14:paraId="7E2E31DD" w14:textId="77777777" w:rsidR="00F15FF0" w:rsidRPr="00A95F91" w:rsidRDefault="00F15FF0" w:rsidP="00054431">
      <w:pPr>
        <w:spacing w:after="0" w:line="240" w:lineRule="auto"/>
        <w:jc w:val="center"/>
        <w:rPr>
          <w:rFonts w:ascii="Arial" w:eastAsia="Aptos" w:hAnsi="Arial" w:cs="Arial"/>
          <w:b/>
          <w:bCs/>
          <w:sz w:val="22"/>
          <w:szCs w:val="22"/>
        </w:rPr>
      </w:pPr>
    </w:p>
    <w:p w14:paraId="5295D8A2" w14:textId="77777777" w:rsidR="00054431" w:rsidRPr="00A95F91" w:rsidRDefault="00054431" w:rsidP="00054431">
      <w:pPr>
        <w:spacing w:after="0" w:line="240" w:lineRule="auto"/>
        <w:jc w:val="center"/>
        <w:rPr>
          <w:rFonts w:ascii="Arial" w:eastAsia="Aptos" w:hAnsi="Arial" w:cs="Arial"/>
          <w:b/>
          <w:bCs/>
          <w:sz w:val="22"/>
          <w:szCs w:val="22"/>
        </w:rPr>
      </w:pPr>
    </w:p>
    <w:p w14:paraId="59A492EB" w14:textId="77777777" w:rsidR="00054431" w:rsidRPr="00A95F91" w:rsidRDefault="00054431" w:rsidP="00054431">
      <w:pPr>
        <w:spacing w:after="0" w:line="240" w:lineRule="auto"/>
        <w:jc w:val="both"/>
        <w:rPr>
          <w:rFonts w:ascii="Arial" w:eastAsia="Aptos" w:hAnsi="Arial" w:cs="Arial"/>
          <w:sz w:val="22"/>
          <w:szCs w:val="22"/>
        </w:rPr>
      </w:pPr>
      <w:r w:rsidRPr="00A95F91">
        <w:rPr>
          <w:rFonts w:ascii="Arial" w:eastAsia="Aptos" w:hAnsi="Arial" w:cs="Arial"/>
          <w:sz w:val="22"/>
          <w:szCs w:val="22"/>
        </w:rPr>
        <w:t xml:space="preserve">Assalamualaikum </w:t>
      </w:r>
      <w:r w:rsidRPr="00A95F91">
        <w:rPr>
          <w:rFonts w:ascii="Arial" w:eastAsia="Aptos" w:hAnsi="Arial" w:cs="Arial"/>
          <w:kern w:val="0"/>
          <w:sz w:val="22"/>
          <w:szCs w:val="22"/>
        </w:rPr>
        <w:t xml:space="preserve">warahmatullahi wabarakatuh </w:t>
      </w:r>
      <w:r w:rsidRPr="00A95F91">
        <w:rPr>
          <w:rFonts w:ascii="Arial" w:eastAsia="Aptos" w:hAnsi="Arial" w:cs="Arial"/>
          <w:sz w:val="22"/>
          <w:szCs w:val="22"/>
        </w:rPr>
        <w:t>and Good Day.</w:t>
      </w:r>
    </w:p>
    <w:p w14:paraId="19A539EF" w14:textId="77777777" w:rsidR="00054431" w:rsidRPr="00A95F91" w:rsidRDefault="00054431" w:rsidP="00054431">
      <w:pPr>
        <w:spacing w:after="0" w:line="240" w:lineRule="auto"/>
        <w:jc w:val="both"/>
        <w:rPr>
          <w:rFonts w:ascii="Arial" w:eastAsia="Aptos" w:hAnsi="Arial" w:cs="Arial"/>
          <w:sz w:val="22"/>
          <w:szCs w:val="22"/>
        </w:rPr>
      </w:pPr>
      <w:r w:rsidRPr="00A95F91">
        <w:rPr>
          <w:rFonts w:ascii="Arial" w:eastAsia="Aptos" w:hAnsi="Arial" w:cs="Arial"/>
          <w:sz w:val="22"/>
          <w:szCs w:val="22"/>
        </w:rPr>
        <w:t>Distinguished Guests, Keynote Speakers, Colleagues, and Participants,</w:t>
      </w:r>
    </w:p>
    <w:p w14:paraId="72AC4343" w14:textId="77777777" w:rsidR="00054431" w:rsidRPr="00A95F91" w:rsidRDefault="00054431" w:rsidP="00054431">
      <w:pPr>
        <w:spacing w:after="0" w:line="240" w:lineRule="auto"/>
        <w:jc w:val="center"/>
        <w:rPr>
          <w:rFonts w:ascii="Arial" w:eastAsia="Aptos" w:hAnsi="Arial" w:cs="Arial"/>
          <w:b/>
          <w:bCs/>
          <w:sz w:val="22"/>
          <w:szCs w:val="22"/>
        </w:rPr>
      </w:pPr>
    </w:p>
    <w:p w14:paraId="559D5F71" w14:textId="77777777" w:rsidR="00054431" w:rsidRPr="00A95F91" w:rsidRDefault="00054431" w:rsidP="00054431">
      <w:pPr>
        <w:spacing w:after="0" w:line="240" w:lineRule="auto"/>
        <w:jc w:val="both"/>
        <w:rPr>
          <w:rFonts w:ascii="Arial" w:eastAsia="Aptos" w:hAnsi="Arial" w:cs="Arial"/>
          <w:sz w:val="22"/>
          <w:szCs w:val="22"/>
        </w:rPr>
      </w:pPr>
      <w:r w:rsidRPr="00A95F91">
        <w:rPr>
          <w:rFonts w:ascii="Arial" w:eastAsia="Aptos" w:hAnsi="Arial" w:cs="Arial"/>
          <w:sz w:val="22"/>
          <w:szCs w:val="22"/>
        </w:rPr>
        <w:t xml:space="preserve">It is our great pleasure and honour to welcome all of you to the </w:t>
      </w:r>
      <w:r w:rsidRPr="00A95F91">
        <w:rPr>
          <w:rFonts w:ascii="Arial" w:eastAsia="Aptos" w:hAnsi="Arial" w:cs="Arial"/>
          <w:b/>
          <w:bCs/>
          <w:sz w:val="22"/>
          <w:szCs w:val="22"/>
        </w:rPr>
        <w:t>2026 International Conference on Information Systems and Intelligent Technologies (INSIGHT 2026)</w:t>
      </w:r>
      <w:r w:rsidRPr="00A95F91">
        <w:rPr>
          <w:rFonts w:ascii="Arial" w:eastAsia="Aptos" w:hAnsi="Arial" w:cs="Arial"/>
          <w:sz w:val="22"/>
          <w:szCs w:val="22"/>
        </w:rPr>
        <w:t xml:space="preserve">, held on </w:t>
      </w:r>
      <w:r w:rsidRPr="00A95F91">
        <w:rPr>
          <w:rFonts w:ascii="Arial" w:eastAsia="Aptos" w:hAnsi="Arial" w:cs="Arial"/>
          <w:b/>
          <w:bCs/>
          <w:sz w:val="22"/>
          <w:szCs w:val="22"/>
        </w:rPr>
        <w:t>19–20th August 2026</w:t>
      </w:r>
      <w:r w:rsidRPr="00A95F91">
        <w:rPr>
          <w:rFonts w:ascii="Arial" w:eastAsia="Aptos" w:hAnsi="Arial" w:cs="Arial"/>
          <w:sz w:val="22"/>
          <w:szCs w:val="22"/>
        </w:rPr>
        <w:t xml:space="preserve"> at the </w:t>
      </w:r>
      <w:r w:rsidRPr="00A95F91">
        <w:rPr>
          <w:rFonts w:ascii="Arial" w:eastAsia="Aptos" w:hAnsi="Arial" w:cs="Arial"/>
          <w:b/>
          <w:bCs/>
          <w:sz w:val="22"/>
          <w:szCs w:val="22"/>
        </w:rPr>
        <w:t>Istanbul Gelisim University, Istanbul, Türkiye</w:t>
      </w:r>
      <w:r w:rsidRPr="00A95F91">
        <w:rPr>
          <w:rFonts w:ascii="Arial" w:eastAsia="Aptos" w:hAnsi="Arial" w:cs="Arial"/>
          <w:sz w:val="22"/>
          <w:szCs w:val="22"/>
        </w:rPr>
        <w:t>.</w:t>
      </w:r>
    </w:p>
    <w:p w14:paraId="116366DE" w14:textId="77777777" w:rsidR="00054431" w:rsidRPr="00A95F91" w:rsidRDefault="00054431" w:rsidP="00054431">
      <w:pPr>
        <w:spacing w:after="0" w:line="240" w:lineRule="auto"/>
        <w:jc w:val="both"/>
        <w:rPr>
          <w:rFonts w:ascii="Arial" w:eastAsia="Aptos" w:hAnsi="Arial" w:cs="Arial"/>
          <w:sz w:val="22"/>
          <w:szCs w:val="22"/>
        </w:rPr>
      </w:pPr>
    </w:p>
    <w:p w14:paraId="2D6E0CF2" w14:textId="77777777" w:rsidR="00054431" w:rsidRPr="00A95F91" w:rsidRDefault="00054431" w:rsidP="00054431">
      <w:pPr>
        <w:spacing w:after="0" w:line="240" w:lineRule="auto"/>
        <w:jc w:val="both"/>
        <w:rPr>
          <w:rFonts w:ascii="Arial" w:eastAsia="Aptos" w:hAnsi="Arial" w:cs="Arial"/>
          <w:kern w:val="0"/>
          <w:sz w:val="22"/>
          <w:szCs w:val="22"/>
        </w:rPr>
      </w:pPr>
      <w:r w:rsidRPr="00A95F91">
        <w:rPr>
          <w:rFonts w:ascii="Arial" w:eastAsia="Aptos" w:hAnsi="Arial" w:cs="Arial"/>
          <w:kern w:val="0"/>
          <w:sz w:val="22"/>
          <w:szCs w:val="22"/>
        </w:rPr>
        <w:t xml:space="preserve">On behalf of the Faculty of Computer Science and Information Technology, Universiti Tun Hussein Onn Malaysia, we would like to extend my heartfelt appreciation to every participant, presenter, reviewer, session chair, keynote speaker, sponsor, collaborator, and member of the organising committee for the invaluable contributions towards the organization and success of this conference. </w:t>
      </w:r>
    </w:p>
    <w:p w14:paraId="71F35F87" w14:textId="77777777" w:rsidR="00054431" w:rsidRPr="00A95F91" w:rsidRDefault="00054431" w:rsidP="00054431">
      <w:pPr>
        <w:spacing w:after="0" w:line="240" w:lineRule="auto"/>
        <w:jc w:val="both"/>
        <w:rPr>
          <w:rFonts w:ascii="Arial" w:eastAsia="Aptos" w:hAnsi="Arial" w:cs="Arial"/>
          <w:kern w:val="0"/>
          <w:sz w:val="22"/>
          <w:szCs w:val="22"/>
        </w:rPr>
      </w:pPr>
    </w:p>
    <w:p w14:paraId="20A4A00D" w14:textId="77777777" w:rsidR="00054431" w:rsidRPr="00A95F91" w:rsidRDefault="00054431" w:rsidP="00054431">
      <w:pPr>
        <w:spacing w:after="0" w:line="240" w:lineRule="auto"/>
        <w:jc w:val="both"/>
        <w:rPr>
          <w:rFonts w:ascii="Arial" w:eastAsia="Aptos" w:hAnsi="Arial" w:cs="Arial"/>
          <w:sz w:val="22"/>
          <w:szCs w:val="22"/>
          <w:lang w:val="en-US"/>
        </w:rPr>
      </w:pPr>
      <w:r w:rsidRPr="00A95F91">
        <w:rPr>
          <w:rFonts w:ascii="Arial" w:eastAsia="Aptos" w:hAnsi="Arial" w:cs="Arial"/>
          <w:sz w:val="22"/>
          <w:szCs w:val="22"/>
          <w:lang w:val="en-US"/>
        </w:rPr>
        <w:t xml:space="preserve">INSIGHT 2026, the second edition of the hybrid international conference, is designed to convene distinguished educators, researchers, industry leaders, policymakers, and stakeholders from across the globe. Guided by the overarching theme of Sustainability and Future-Ready Innovation in Information Systems, the conference seeks to advance scholarly discourse and foster collaborative engagement in addressing complex global challenges through sustainable, ethical, and technology-driven solutions. INSIGHT 2026 will feature a comprehensive program of high-quality research presentations, empirical investigations, and applied case studies in Information Systems and related disciplines, that particularly emphasis on sustainable digital transformation, green and responsible computing, data-driven governance, intelligent systems, cybersecurity resilience, and innovative Information Systems frameworks that support environmental stewardship, social responsibility, and economic sustainability. </w:t>
      </w:r>
    </w:p>
    <w:p w14:paraId="669CDCAD" w14:textId="77777777" w:rsidR="00054431" w:rsidRPr="00A95F91" w:rsidRDefault="00054431" w:rsidP="00054431">
      <w:pPr>
        <w:spacing w:after="0" w:line="240" w:lineRule="auto"/>
        <w:jc w:val="both"/>
        <w:rPr>
          <w:rFonts w:ascii="Arial" w:eastAsia="Aptos" w:hAnsi="Arial" w:cs="Arial"/>
          <w:sz w:val="22"/>
          <w:szCs w:val="22"/>
          <w:lang w:val="en-US"/>
        </w:rPr>
      </w:pPr>
    </w:p>
    <w:p w14:paraId="2ACABD67" w14:textId="77777777" w:rsidR="00054431" w:rsidRPr="00A95F91" w:rsidRDefault="00054431" w:rsidP="00054431">
      <w:pPr>
        <w:spacing w:after="0" w:line="240" w:lineRule="auto"/>
        <w:jc w:val="both"/>
        <w:rPr>
          <w:rFonts w:ascii="Arial" w:eastAsia="Aptos" w:hAnsi="Arial" w:cs="Arial"/>
          <w:kern w:val="0"/>
          <w:sz w:val="22"/>
          <w:szCs w:val="22"/>
        </w:rPr>
      </w:pPr>
      <w:r w:rsidRPr="00A95F91">
        <w:rPr>
          <w:rFonts w:ascii="Arial" w:eastAsia="Aptos" w:hAnsi="Arial" w:cs="Arial"/>
          <w:kern w:val="0"/>
          <w:sz w:val="22"/>
          <w:szCs w:val="22"/>
        </w:rPr>
        <w:t xml:space="preserve">This year's conference theme, </w:t>
      </w:r>
      <w:r w:rsidRPr="00A95F91">
        <w:rPr>
          <w:rFonts w:ascii="Arial" w:eastAsia="Aptos" w:hAnsi="Arial" w:cs="Arial"/>
          <w:b/>
          <w:bCs/>
          <w:sz w:val="22"/>
          <w:szCs w:val="22"/>
        </w:rPr>
        <w:t xml:space="preserve">“THEME: INTEGRATING INFORMATION SYSTEM AND ARTIFICIAL INTELLIGENCE TECHNOLOGY FOR SUSTAINABLE INOVATION AND DEVELOPMENT”, </w:t>
      </w:r>
      <w:r w:rsidRPr="00A95F91">
        <w:rPr>
          <w:rFonts w:ascii="Arial" w:eastAsia="Aptos" w:hAnsi="Arial" w:cs="Arial"/>
          <w:kern w:val="0"/>
          <w:sz w:val="22"/>
          <w:szCs w:val="22"/>
        </w:rPr>
        <w:t>perfectly reflects the rapid evolution of today's digital landscape. Artificial Intelligence has become far more than an emerging technology. It is now transforming industries, revolutionising research, and reshaping the way we learn, work, communicate, and solve complex real-world problems.</w:t>
      </w:r>
    </w:p>
    <w:p w14:paraId="3ED0E91E" w14:textId="77777777" w:rsidR="00054431" w:rsidRPr="00A95F91" w:rsidRDefault="00054431" w:rsidP="00054431">
      <w:pPr>
        <w:spacing w:after="0" w:line="240" w:lineRule="auto"/>
        <w:jc w:val="both"/>
        <w:rPr>
          <w:rFonts w:ascii="Arial" w:eastAsia="Aptos" w:hAnsi="Arial" w:cs="Arial"/>
          <w:kern w:val="0"/>
          <w:sz w:val="22"/>
          <w:szCs w:val="22"/>
        </w:rPr>
      </w:pPr>
    </w:p>
    <w:p w14:paraId="6F8BEF6C" w14:textId="77777777" w:rsidR="00054431" w:rsidRPr="00A95F91" w:rsidRDefault="00054431" w:rsidP="00054431">
      <w:pPr>
        <w:spacing w:after="0" w:line="240" w:lineRule="auto"/>
        <w:jc w:val="both"/>
        <w:rPr>
          <w:rFonts w:ascii="Arial" w:eastAsia="Aptos" w:hAnsi="Arial" w:cs="Arial"/>
          <w:kern w:val="0"/>
          <w:sz w:val="22"/>
          <w:szCs w:val="22"/>
        </w:rPr>
      </w:pPr>
      <w:r w:rsidRPr="00A95F91">
        <w:rPr>
          <w:rFonts w:ascii="Arial" w:eastAsia="Aptos" w:hAnsi="Arial" w:cs="Arial"/>
          <w:kern w:val="0"/>
          <w:sz w:val="22"/>
          <w:szCs w:val="22"/>
        </w:rPr>
        <w:t xml:space="preserve">With this transformation comes a greater responsibility. As researchers and innovators, our mission extends beyond developing intelligent algorithms and systems or achieving higher predictive accuracy. Our </w:t>
      </w:r>
      <w:proofErr w:type="gramStart"/>
      <w:r w:rsidRPr="00A95F91">
        <w:rPr>
          <w:rFonts w:ascii="Arial" w:eastAsia="Aptos" w:hAnsi="Arial" w:cs="Arial"/>
          <w:kern w:val="0"/>
          <w:sz w:val="22"/>
          <w:szCs w:val="22"/>
        </w:rPr>
        <w:t>ultimate goal</w:t>
      </w:r>
      <w:proofErr w:type="gramEnd"/>
      <w:r w:rsidRPr="00A95F91">
        <w:rPr>
          <w:rFonts w:ascii="Arial" w:eastAsia="Aptos" w:hAnsi="Arial" w:cs="Arial"/>
          <w:kern w:val="0"/>
          <w:sz w:val="22"/>
          <w:szCs w:val="22"/>
        </w:rPr>
        <w:t xml:space="preserve"> should be to create technologies that improve lives, empower communities, address societal challenges, and contribute to sustainable development. </w:t>
      </w:r>
      <w:r w:rsidRPr="00A95F91">
        <w:rPr>
          <w:rFonts w:ascii="Arial" w:eastAsia="Aptos" w:hAnsi="Arial" w:cs="Arial"/>
          <w:sz w:val="22"/>
          <w:szCs w:val="22"/>
        </w:rPr>
        <w:t>Let us share a bit on the economic and global landscape shifting due to digitalization and AI. The numbers supporting this shift are staggering:</w:t>
      </w:r>
    </w:p>
    <w:p w14:paraId="666D0608" w14:textId="77777777" w:rsidR="00054431" w:rsidRPr="00A95F91" w:rsidRDefault="00054431" w:rsidP="00054431">
      <w:pPr>
        <w:numPr>
          <w:ilvl w:val="0"/>
          <w:numId w:val="7"/>
        </w:numPr>
        <w:spacing w:after="0" w:line="240" w:lineRule="auto"/>
        <w:jc w:val="both"/>
        <w:rPr>
          <w:rFonts w:ascii="Arial" w:eastAsia="Aptos" w:hAnsi="Arial" w:cs="Arial"/>
          <w:sz w:val="22"/>
          <w:szCs w:val="22"/>
        </w:rPr>
      </w:pPr>
      <w:r w:rsidRPr="00A95F91">
        <w:rPr>
          <w:rFonts w:ascii="Arial" w:eastAsia="Aptos" w:hAnsi="Arial" w:cs="Arial"/>
          <w:sz w:val="22"/>
          <w:szCs w:val="22"/>
        </w:rPr>
        <w:t xml:space="preserve">By 2030, the global AI market is projected to reach $739 billion, with the Generative AI sector alone hitting $207 billion. </w:t>
      </w:r>
    </w:p>
    <w:p w14:paraId="7F8D4E39" w14:textId="77777777" w:rsidR="00054431" w:rsidRPr="00A95F91" w:rsidRDefault="00054431" w:rsidP="00054431">
      <w:pPr>
        <w:numPr>
          <w:ilvl w:val="0"/>
          <w:numId w:val="7"/>
        </w:numPr>
        <w:spacing w:after="0" w:line="240" w:lineRule="auto"/>
        <w:jc w:val="both"/>
        <w:rPr>
          <w:rFonts w:ascii="Arial" w:eastAsia="Aptos" w:hAnsi="Arial" w:cs="Arial"/>
          <w:sz w:val="22"/>
          <w:szCs w:val="22"/>
        </w:rPr>
      </w:pPr>
      <w:r w:rsidRPr="00A95F91">
        <w:rPr>
          <w:rFonts w:ascii="Arial" w:eastAsia="Aptos" w:hAnsi="Arial" w:cs="Arial"/>
          <w:sz w:val="22"/>
          <w:szCs w:val="22"/>
        </w:rPr>
        <w:t xml:space="preserve">In the APAC region, the AI market size is expected to reach $216 billion. </w:t>
      </w:r>
    </w:p>
    <w:p w14:paraId="6AFEE16E" w14:textId="77777777" w:rsidR="00054431" w:rsidRPr="00A95F91" w:rsidRDefault="00054431" w:rsidP="00054431">
      <w:pPr>
        <w:numPr>
          <w:ilvl w:val="0"/>
          <w:numId w:val="7"/>
        </w:numPr>
        <w:spacing w:after="0" w:line="240" w:lineRule="auto"/>
        <w:jc w:val="both"/>
        <w:rPr>
          <w:rFonts w:ascii="Arial" w:eastAsia="Aptos" w:hAnsi="Arial" w:cs="Arial"/>
          <w:sz w:val="22"/>
          <w:szCs w:val="22"/>
        </w:rPr>
      </w:pPr>
      <w:r w:rsidRPr="00A95F91">
        <w:rPr>
          <w:rFonts w:ascii="Arial" w:eastAsia="Aptos" w:hAnsi="Arial" w:cs="Arial"/>
          <w:sz w:val="22"/>
          <w:szCs w:val="22"/>
        </w:rPr>
        <w:t xml:space="preserve">AI has the potential to add 1.2% to baseline economic growth. </w:t>
      </w:r>
    </w:p>
    <w:p w14:paraId="4F1B3B8F" w14:textId="77777777" w:rsidR="00054431" w:rsidRPr="00A95F91" w:rsidRDefault="00054431" w:rsidP="00054431">
      <w:pPr>
        <w:numPr>
          <w:ilvl w:val="0"/>
          <w:numId w:val="7"/>
        </w:numPr>
        <w:spacing w:after="0" w:line="240" w:lineRule="auto"/>
        <w:jc w:val="both"/>
        <w:rPr>
          <w:rFonts w:ascii="Arial" w:eastAsia="Aptos" w:hAnsi="Arial" w:cs="Arial"/>
          <w:sz w:val="22"/>
          <w:szCs w:val="22"/>
        </w:rPr>
      </w:pPr>
      <w:r w:rsidRPr="00A95F91">
        <w:rPr>
          <w:rFonts w:ascii="Arial" w:eastAsia="Aptos" w:hAnsi="Arial" w:cs="Arial"/>
          <w:sz w:val="22"/>
          <w:szCs w:val="22"/>
        </w:rPr>
        <w:t xml:space="preserve">In Malaysian context, due to Malaysia’s vision as AI nation in 2030, Malaysia is making significant strides, ranking 23rd in the 2023 Global AI Government Readiness Index. </w:t>
      </w:r>
    </w:p>
    <w:p w14:paraId="62C8CDDD" w14:textId="77777777" w:rsidR="00054431" w:rsidRPr="00A95F91" w:rsidRDefault="00054431" w:rsidP="00054431">
      <w:pPr>
        <w:spacing w:after="0" w:line="240" w:lineRule="auto"/>
        <w:jc w:val="both"/>
        <w:rPr>
          <w:rFonts w:ascii="Arial" w:eastAsia="Aptos" w:hAnsi="Arial" w:cs="Arial"/>
          <w:kern w:val="0"/>
          <w:sz w:val="22"/>
          <w:szCs w:val="22"/>
        </w:rPr>
      </w:pPr>
    </w:p>
    <w:p w14:paraId="4C8E8D39" w14:textId="77777777" w:rsidR="00054431" w:rsidRPr="00A95F91" w:rsidRDefault="00054431" w:rsidP="00054431">
      <w:pPr>
        <w:spacing w:after="0" w:line="240" w:lineRule="auto"/>
        <w:jc w:val="both"/>
        <w:rPr>
          <w:rFonts w:ascii="Arial" w:eastAsia="Aptos" w:hAnsi="Arial" w:cs="Arial"/>
          <w:kern w:val="0"/>
          <w:sz w:val="22"/>
          <w:szCs w:val="22"/>
        </w:rPr>
      </w:pPr>
      <w:r w:rsidRPr="00A95F91">
        <w:rPr>
          <w:rFonts w:ascii="Arial" w:eastAsia="Aptos" w:hAnsi="Arial" w:cs="Arial"/>
          <w:kern w:val="0"/>
          <w:sz w:val="22"/>
          <w:szCs w:val="22"/>
        </w:rPr>
        <w:t>Research thrives through collaboration. Many of today's greatest scientific breakthroughs are no longer achieved by individuals working in isolation, but through multidisciplinary and international partnerships. Conferences like INSIGHT serve as important platforms for bringing together researchers with diverse expertise, enabling us to learn from one another and build meaningful collaborations that extend well beyond this event. We sincerely hope that the conversations initiated during this conference will continue long after today's closing ceremony. May they lead to joint research projects, international grants, collaborative publications, student exchanges, and innovations that benefit society.</w:t>
      </w:r>
    </w:p>
    <w:p w14:paraId="13CC99CD" w14:textId="77777777" w:rsidR="00054431" w:rsidRPr="00A95F91" w:rsidRDefault="00054431" w:rsidP="00054431">
      <w:pPr>
        <w:spacing w:after="0" w:line="240" w:lineRule="auto"/>
        <w:jc w:val="both"/>
        <w:rPr>
          <w:rFonts w:ascii="Arial" w:eastAsia="Aptos" w:hAnsi="Arial" w:cs="Arial"/>
          <w:kern w:val="0"/>
          <w:sz w:val="22"/>
          <w:szCs w:val="22"/>
        </w:rPr>
      </w:pPr>
    </w:p>
    <w:p w14:paraId="2B351C00" w14:textId="77777777" w:rsidR="00054431" w:rsidRPr="00A95F91" w:rsidRDefault="00054431" w:rsidP="00054431">
      <w:pPr>
        <w:spacing w:after="0" w:line="240" w:lineRule="auto"/>
        <w:jc w:val="both"/>
        <w:rPr>
          <w:rFonts w:ascii="Arial" w:eastAsia="Aptos" w:hAnsi="Arial" w:cs="Arial"/>
          <w:kern w:val="0"/>
          <w:sz w:val="22"/>
          <w:szCs w:val="22"/>
        </w:rPr>
      </w:pPr>
      <w:r w:rsidRPr="00A95F91">
        <w:rPr>
          <w:rFonts w:ascii="Arial" w:eastAsia="Aptos" w:hAnsi="Arial" w:cs="Arial"/>
          <w:kern w:val="0"/>
          <w:sz w:val="22"/>
          <w:szCs w:val="22"/>
        </w:rPr>
        <w:t>An event of this scale cannot succeed without the dedication and commitment of many individuals working tirelessly behind the scenes. We would therefore like to express my deepest appreciation to the Organising Committee, led by Prof. Ts. Dr Deden Witarsyah, together with every committee member, keynote speakers, volunteer, reviewer, session chair, technical support team, and administrative staff for the hard work over the past several months. The team professionalism, dedication, and teamwork have made INSIGHT 2026 a truly successful international conference.</w:t>
      </w:r>
    </w:p>
    <w:p w14:paraId="2F7FED44" w14:textId="77777777" w:rsidR="00054431" w:rsidRPr="00A95F91" w:rsidRDefault="00054431" w:rsidP="00054431">
      <w:pPr>
        <w:spacing w:after="0" w:line="240" w:lineRule="auto"/>
        <w:jc w:val="both"/>
        <w:rPr>
          <w:rFonts w:ascii="Arial" w:eastAsia="Aptos" w:hAnsi="Arial" w:cs="Arial"/>
          <w:kern w:val="0"/>
          <w:sz w:val="22"/>
          <w:szCs w:val="22"/>
        </w:rPr>
      </w:pPr>
    </w:p>
    <w:p w14:paraId="59BE0532" w14:textId="77777777" w:rsidR="00054431" w:rsidRPr="00A95F91" w:rsidRDefault="00054431" w:rsidP="00054431">
      <w:pPr>
        <w:spacing w:after="0" w:line="240" w:lineRule="auto"/>
        <w:jc w:val="both"/>
        <w:rPr>
          <w:rFonts w:ascii="Arial" w:eastAsia="Aptos" w:hAnsi="Arial" w:cs="Arial"/>
          <w:kern w:val="0"/>
          <w:sz w:val="22"/>
          <w:szCs w:val="22"/>
        </w:rPr>
      </w:pPr>
      <w:r w:rsidRPr="00A95F91">
        <w:rPr>
          <w:rFonts w:ascii="Arial" w:eastAsia="Aptos" w:hAnsi="Arial" w:cs="Arial"/>
          <w:kern w:val="0"/>
          <w:sz w:val="22"/>
          <w:szCs w:val="22"/>
        </w:rPr>
        <w:t>After we conclude INSIGHT 2026, we encourage all of us to continue embracing curiosity, innovation, and collaboration. Let us continue to push the boundaries of knowledge, explore emerging technologies responsibly, and ensure that our research creates meaningful impact for humanity. We also hope that each participant leaves this conference with more than just a certificate or conference proceedings. We hope this conference has created lasting professional connections that will lead to future collaborations, joint publications, and innovative research projects.</w:t>
      </w:r>
    </w:p>
    <w:p w14:paraId="69DA318B" w14:textId="77777777" w:rsidR="00054431" w:rsidRPr="00A95F91" w:rsidRDefault="00054431" w:rsidP="00054431">
      <w:pPr>
        <w:spacing w:after="0" w:line="240" w:lineRule="auto"/>
        <w:jc w:val="both"/>
        <w:rPr>
          <w:rFonts w:ascii="Arial" w:eastAsia="Aptos" w:hAnsi="Arial" w:cs="Arial"/>
          <w:kern w:val="0"/>
          <w:sz w:val="22"/>
          <w:szCs w:val="22"/>
        </w:rPr>
      </w:pPr>
    </w:p>
    <w:p w14:paraId="72AB8E4A" w14:textId="77777777" w:rsidR="00054431" w:rsidRPr="00A95F91" w:rsidRDefault="00054431" w:rsidP="00054431">
      <w:pPr>
        <w:spacing w:after="0" w:line="240" w:lineRule="auto"/>
        <w:jc w:val="both"/>
        <w:rPr>
          <w:rFonts w:ascii="Arial" w:eastAsia="Aptos" w:hAnsi="Arial" w:cs="Arial"/>
          <w:kern w:val="0"/>
          <w:sz w:val="22"/>
          <w:szCs w:val="22"/>
        </w:rPr>
      </w:pPr>
      <w:r w:rsidRPr="00A95F91">
        <w:rPr>
          <w:rFonts w:ascii="Arial" w:eastAsia="Aptos" w:hAnsi="Arial" w:cs="Arial"/>
          <w:kern w:val="0"/>
          <w:sz w:val="22"/>
          <w:szCs w:val="22"/>
        </w:rPr>
        <w:t>After all, the true success of a conference is not measured by the number of papers presented or the number of participants attending. It is measured by the collaborations that begin here, the ideas that continue to grow, and the positive impact our collective work will create in the years ahead.</w:t>
      </w:r>
    </w:p>
    <w:p w14:paraId="3A7EA332" w14:textId="77777777" w:rsidR="00054431" w:rsidRPr="00A95F91" w:rsidRDefault="00054431" w:rsidP="00054431">
      <w:pPr>
        <w:spacing w:after="0" w:line="240" w:lineRule="auto"/>
        <w:jc w:val="both"/>
        <w:rPr>
          <w:rFonts w:ascii="Arial" w:eastAsia="Aptos" w:hAnsi="Arial" w:cs="Arial"/>
          <w:kern w:val="0"/>
          <w:sz w:val="22"/>
          <w:szCs w:val="22"/>
        </w:rPr>
      </w:pPr>
    </w:p>
    <w:p w14:paraId="274787D0" w14:textId="77777777" w:rsidR="00054431" w:rsidRPr="00A95F91" w:rsidRDefault="00054431" w:rsidP="00054431">
      <w:pPr>
        <w:spacing w:after="0" w:line="240" w:lineRule="auto"/>
        <w:jc w:val="both"/>
        <w:rPr>
          <w:rFonts w:ascii="Arial" w:eastAsia="Aptos" w:hAnsi="Arial" w:cs="Arial"/>
          <w:kern w:val="0"/>
          <w:sz w:val="22"/>
          <w:szCs w:val="22"/>
        </w:rPr>
      </w:pPr>
      <w:r w:rsidRPr="00A95F91">
        <w:rPr>
          <w:rFonts w:ascii="Arial" w:eastAsia="Aptos" w:hAnsi="Arial" w:cs="Arial"/>
          <w:kern w:val="0"/>
          <w:sz w:val="22"/>
          <w:szCs w:val="22"/>
        </w:rPr>
        <w:t>Finally, we look forward to welcoming all of you again at the next edition of INSIGHT, where we will continue to strengthen our global research community and shape the future together. Thank you.</w:t>
      </w:r>
    </w:p>
    <w:p w14:paraId="7E31F772" w14:textId="77777777" w:rsidR="00054431" w:rsidRPr="00A95F91" w:rsidRDefault="00054431" w:rsidP="00054431">
      <w:pPr>
        <w:spacing w:after="0" w:line="240" w:lineRule="auto"/>
        <w:jc w:val="both"/>
        <w:rPr>
          <w:rFonts w:ascii="Arial" w:eastAsia="Aptos" w:hAnsi="Arial" w:cs="Arial"/>
          <w:kern w:val="0"/>
          <w:sz w:val="22"/>
          <w:szCs w:val="22"/>
        </w:rPr>
      </w:pPr>
    </w:p>
    <w:p w14:paraId="5DEEDC27" w14:textId="77777777" w:rsidR="00054431" w:rsidRPr="00A95F91" w:rsidRDefault="00054431" w:rsidP="00054431">
      <w:pPr>
        <w:spacing w:after="0" w:line="240" w:lineRule="auto"/>
        <w:jc w:val="both"/>
        <w:rPr>
          <w:rFonts w:ascii="Arial" w:eastAsia="Aptos" w:hAnsi="Arial" w:cs="Arial"/>
          <w:kern w:val="0"/>
          <w:sz w:val="22"/>
          <w:szCs w:val="22"/>
        </w:rPr>
      </w:pPr>
    </w:p>
    <w:p w14:paraId="2F80BB3B" w14:textId="77777777" w:rsidR="00054431" w:rsidRPr="00A95F91" w:rsidRDefault="00054431" w:rsidP="00054431">
      <w:pPr>
        <w:spacing w:after="0" w:line="240" w:lineRule="auto"/>
        <w:jc w:val="both"/>
        <w:rPr>
          <w:rFonts w:ascii="Arial" w:eastAsia="Aptos" w:hAnsi="Arial" w:cs="Arial"/>
          <w:sz w:val="22"/>
          <w:szCs w:val="22"/>
          <w:lang w:val="en-US"/>
        </w:rPr>
      </w:pPr>
      <w:r w:rsidRPr="00A95F91">
        <w:rPr>
          <w:rFonts w:ascii="Arial" w:eastAsia="Aptos" w:hAnsi="Arial" w:cs="Arial"/>
          <w:sz w:val="22"/>
          <w:szCs w:val="22"/>
          <w:lang w:val="en-US"/>
        </w:rPr>
        <w:t>Professor Ts. Dr. Mohd. Farhan Md. Fudzee</w:t>
      </w:r>
    </w:p>
    <w:p w14:paraId="789B91F5" w14:textId="77777777" w:rsidR="00054431" w:rsidRPr="00A95F91" w:rsidRDefault="00054431" w:rsidP="00054431">
      <w:pPr>
        <w:spacing w:after="0" w:line="240" w:lineRule="auto"/>
        <w:jc w:val="both"/>
        <w:rPr>
          <w:rFonts w:ascii="Arial" w:eastAsia="Aptos" w:hAnsi="Arial" w:cs="Arial"/>
          <w:sz w:val="22"/>
          <w:szCs w:val="22"/>
          <w:lang w:val="en-US"/>
        </w:rPr>
      </w:pPr>
      <w:r w:rsidRPr="00A95F91">
        <w:rPr>
          <w:rFonts w:ascii="Arial" w:eastAsia="Aptos" w:hAnsi="Arial" w:cs="Arial"/>
          <w:sz w:val="22"/>
          <w:szCs w:val="22"/>
          <w:lang w:val="en-US"/>
        </w:rPr>
        <w:t>Dean of Faculty of Computer Science and Information Technology (FSKTM), Universiti Tun Hussein Onn Malaysia (UTHM)</w:t>
      </w:r>
    </w:p>
    <w:p w14:paraId="033B67CF" w14:textId="77777777" w:rsidR="00054431" w:rsidRPr="00054431" w:rsidRDefault="00054431" w:rsidP="00054431">
      <w:pPr>
        <w:spacing w:after="0" w:line="240" w:lineRule="auto"/>
        <w:jc w:val="center"/>
        <w:rPr>
          <w:rFonts w:ascii="Arial" w:eastAsia="Aptos" w:hAnsi="Arial" w:cs="Arial"/>
          <w:b/>
          <w:bCs/>
        </w:rPr>
      </w:pPr>
    </w:p>
    <w:p w14:paraId="190A10CC" w14:textId="77777777" w:rsidR="00054431" w:rsidRPr="00054431" w:rsidRDefault="00054431" w:rsidP="00054431">
      <w:pPr>
        <w:spacing w:after="0" w:line="240" w:lineRule="auto"/>
        <w:rPr>
          <w:rFonts w:ascii="Arial" w:eastAsia="Aptos" w:hAnsi="Arial" w:cs="Arial"/>
        </w:rPr>
      </w:pPr>
    </w:p>
    <w:p w14:paraId="3233161D" w14:textId="77777777" w:rsidR="00054431" w:rsidRPr="00054431" w:rsidRDefault="00054431" w:rsidP="00054431">
      <w:pPr>
        <w:spacing w:after="0" w:line="240" w:lineRule="auto"/>
        <w:rPr>
          <w:rFonts w:ascii="Arial" w:eastAsia="Aptos" w:hAnsi="Arial" w:cs="Arial"/>
        </w:rPr>
      </w:pPr>
    </w:p>
    <w:p w14:paraId="1F16EB61" w14:textId="1D28C174" w:rsidR="00054431" w:rsidRDefault="00054431" w:rsidP="00054431">
      <w:pPr>
        <w:rPr>
          <w:b/>
          <w:bCs/>
        </w:rPr>
      </w:pPr>
      <w:r>
        <w:rPr>
          <w:b/>
          <w:bCs/>
        </w:rPr>
        <w:br w:type="page"/>
      </w:r>
    </w:p>
    <w:p w14:paraId="79E13062" w14:textId="534527DB" w:rsidR="00CC5A88" w:rsidRPr="00C25035" w:rsidRDefault="00CC5A88" w:rsidP="00F15FF0">
      <w:pPr>
        <w:spacing w:after="0"/>
        <w:rPr>
          <w:rFonts w:ascii="Arial" w:hAnsi="Arial" w:cs="Arial"/>
          <w:b/>
          <w:bCs/>
          <w:sz w:val="22"/>
          <w:szCs w:val="22"/>
        </w:rPr>
      </w:pPr>
      <w:r w:rsidRPr="00C25035">
        <w:rPr>
          <w:rFonts w:ascii="Arial" w:hAnsi="Arial" w:cs="Arial"/>
          <w:b/>
          <w:bCs/>
          <w:sz w:val="22"/>
          <w:szCs w:val="22"/>
        </w:rPr>
        <w:lastRenderedPageBreak/>
        <w:t>WELCOME MESSAGE FROM THE DEAN OF THE FACULTY OF COMPUTER SCIENCE, UNIVERSITAS BRAWIJAYA</w:t>
      </w:r>
    </w:p>
    <w:p w14:paraId="4F0A2366" w14:textId="77777777" w:rsidR="00CC5A88" w:rsidRPr="00C25035" w:rsidRDefault="00CC5A88" w:rsidP="00CC5A88">
      <w:pPr>
        <w:spacing w:after="0"/>
        <w:jc w:val="both"/>
        <w:rPr>
          <w:rFonts w:ascii="Arial" w:hAnsi="Arial" w:cs="Arial"/>
          <w:sz w:val="22"/>
          <w:szCs w:val="22"/>
        </w:rPr>
      </w:pPr>
    </w:p>
    <w:p w14:paraId="52FCED60" w14:textId="77777777" w:rsidR="00CC5A88" w:rsidRPr="00C25035" w:rsidRDefault="00CC5A88" w:rsidP="00CC5A88">
      <w:pPr>
        <w:spacing w:after="0"/>
        <w:jc w:val="both"/>
        <w:rPr>
          <w:rFonts w:ascii="Arial" w:hAnsi="Arial" w:cs="Arial"/>
          <w:sz w:val="22"/>
          <w:szCs w:val="22"/>
        </w:rPr>
      </w:pPr>
      <w:r w:rsidRPr="00C25035">
        <w:rPr>
          <w:rFonts w:ascii="Arial" w:hAnsi="Arial" w:cs="Arial"/>
          <w:sz w:val="22"/>
          <w:szCs w:val="22"/>
        </w:rPr>
        <w:t>Distinguished Guests, Keynote Speakers, Colleagues, and Participants,</w:t>
      </w:r>
    </w:p>
    <w:p w14:paraId="4C2B563D" w14:textId="77777777" w:rsidR="00CC5A88" w:rsidRPr="00C25035" w:rsidRDefault="00CC5A88" w:rsidP="00CC5A88">
      <w:pPr>
        <w:spacing w:after="0"/>
        <w:jc w:val="both"/>
        <w:rPr>
          <w:rFonts w:ascii="Arial" w:hAnsi="Arial" w:cs="Arial"/>
          <w:sz w:val="22"/>
          <w:szCs w:val="22"/>
        </w:rPr>
      </w:pPr>
    </w:p>
    <w:p w14:paraId="35983E3F" w14:textId="77777777" w:rsidR="00CC5A88" w:rsidRPr="00C25035" w:rsidRDefault="00CC5A88" w:rsidP="00CC5A88">
      <w:pPr>
        <w:spacing w:after="0"/>
        <w:jc w:val="both"/>
        <w:rPr>
          <w:rFonts w:ascii="Arial" w:hAnsi="Arial" w:cs="Arial"/>
          <w:sz w:val="22"/>
          <w:szCs w:val="22"/>
        </w:rPr>
      </w:pPr>
      <w:r w:rsidRPr="00C25035">
        <w:rPr>
          <w:rFonts w:ascii="Arial" w:hAnsi="Arial" w:cs="Arial"/>
          <w:sz w:val="22"/>
          <w:szCs w:val="22"/>
        </w:rPr>
        <w:t xml:space="preserve">On behalf of the Faculty of Computer Science, Universitas Brawijaya (FILKOM UB), it is my great honor and pleasure to welcome you to the </w:t>
      </w:r>
      <w:r w:rsidRPr="00C25035">
        <w:rPr>
          <w:rFonts w:ascii="Arial" w:hAnsi="Arial" w:cs="Arial"/>
          <w:b/>
          <w:bCs/>
          <w:sz w:val="22"/>
          <w:szCs w:val="22"/>
        </w:rPr>
        <w:t>2026 International Conference on Information Systems and Intelligent Technologies (INSIGHT 2026), to be held on 19–20 August 2026.</w:t>
      </w:r>
    </w:p>
    <w:p w14:paraId="2C98D9CB" w14:textId="77777777" w:rsidR="00CC5A88" w:rsidRPr="00C25035" w:rsidRDefault="00CC5A88" w:rsidP="00CC5A88">
      <w:pPr>
        <w:spacing w:after="0"/>
        <w:jc w:val="both"/>
        <w:rPr>
          <w:rFonts w:ascii="Arial" w:hAnsi="Arial" w:cs="Arial"/>
          <w:sz w:val="22"/>
          <w:szCs w:val="22"/>
        </w:rPr>
      </w:pPr>
    </w:p>
    <w:p w14:paraId="7EE81197" w14:textId="77777777" w:rsidR="00CC5A88" w:rsidRPr="00C25035" w:rsidRDefault="00CC5A88" w:rsidP="00CC5A88">
      <w:pPr>
        <w:spacing w:after="0"/>
        <w:jc w:val="both"/>
        <w:rPr>
          <w:rFonts w:ascii="Arial" w:hAnsi="Arial" w:cs="Arial"/>
          <w:sz w:val="22"/>
          <w:szCs w:val="22"/>
        </w:rPr>
      </w:pPr>
      <w:r w:rsidRPr="00C25035">
        <w:rPr>
          <w:rFonts w:ascii="Arial" w:hAnsi="Arial" w:cs="Arial"/>
          <w:sz w:val="22"/>
          <w:szCs w:val="22"/>
        </w:rPr>
        <w:t>INSIGHT 2026 is jointly organized by the Faculty of Computer Science, Universitas Brawijaya, Indonesia; Istanbul Gelisim University; the Asia Pacific Research and Knowledge Network; and Centro Algoritmi. This conference represents an important milestone in our collective efforts to advance knowledge, strengthen international collaboration, and contribute to the future of sustainable digital innovation.</w:t>
      </w:r>
    </w:p>
    <w:p w14:paraId="27F7CDAF" w14:textId="77777777" w:rsidR="00CC5A88" w:rsidRPr="00C25035" w:rsidRDefault="00CC5A88" w:rsidP="00CC5A88">
      <w:pPr>
        <w:spacing w:after="0"/>
        <w:jc w:val="both"/>
        <w:rPr>
          <w:rFonts w:ascii="Arial" w:hAnsi="Arial" w:cs="Arial"/>
          <w:sz w:val="22"/>
          <w:szCs w:val="22"/>
        </w:rPr>
      </w:pPr>
    </w:p>
    <w:p w14:paraId="689A87EA" w14:textId="77777777" w:rsidR="00CC5A88" w:rsidRPr="00C25035" w:rsidRDefault="00CC5A88" w:rsidP="00CC5A88">
      <w:pPr>
        <w:spacing w:after="0"/>
        <w:jc w:val="both"/>
        <w:rPr>
          <w:rFonts w:ascii="Arial" w:hAnsi="Arial" w:cs="Arial"/>
          <w:sz w:val="22"/>
          <w:szCs w:val="22"/>
        </w:rPr>
      </w:pPr>
      <w:r w:rsidRPr="00C25035">
        <w:rPr>
          <w:rFonts w:ascii="Arial" w:hAnsi="Arial" w:cs="Arial"/>
          <w:sz w:val="22"/>
          <w:szCs w:val="22"/>
        </w:rPr>
        <w:t xml:space="preserve">The conference theme, </w:t>
      </w:r>
      <w:r w:rsidRPr="00C25035">
        <w:rPr>
          <w:rFonts w:ascii="Arial" w:hAnsi="Arial" w:cs="Arial"/>
          <w:b/>
          <w:bCs/>
          <w:sz w:val="22"/>
          <w:szCs w:val="22"/>
        </w:rPr>
        <w:t>“Integrating Information Systems and Artificial Intelligence Technologies for Sustainable Innovation and Development,”</w:t>
      </w:r>
      <w:r w:rsidRPr="00C25035">
        <w:rPr>
          <w:rFonts w:ascii="Arial" w:hAnsi="Arial" w:cs="Arial"/>
          <w:sz w:val="22"/>
          <w:szCs w:val="22"/>
        </w:rPr>
        <w:t xml:space="preserve"> reflects the realities of today’s rapidly evolving digital landscape. Technological advancements continue to transform industries and redefine how people live, work, communicate, and interact. In an era shaped by artificial intelligence, the Internet of Things, and data-driven systems, the development of secure, intelligent, sustainable, and interconnected technologies is essential to building a trustworthy and resilient digital future.</w:t>
      </w:r>
    </w:p>
    <w:p w14:paraId="0B5D17F1" w14:textId="77777777" w:rsidR="00CC5A88" w:rsidRPr="00C25035" w:rsidRDefault="00CC5A88" w:rsidP="00CC5A88">
      <w:pPr>
        <w:spacing w:after="0"/>
        <w:jc w:val="both"/>
        <w:rPr>
          <w:rFonts w:ascii="Arial" w:hAnsi="Arial" w:cs="Arial"/>
          <w:sz w:val="22"/>
          <w:szCs w:val="22"/>
        </w:rPr>
      </w:pPr>
    </w:p>
    <w:p w14:paraId="0D6C3CAA" w14:textId="77777777" w:rsidR="00CC5A88" w:rsidRPr="00C25035" w:rsidRDefault="00CC5A88" w:rsidP="00CC5A88">
      <w:pPr>
        <w:spacing w:after="0"/>
        <w:jc w:val="both"/>
        <w:rPr>
          <w:rFonts w:ascii="Arial" w:hAnsi="Arial" w:cs="Arial"/>
          <w:sz w:val="22"/>
          <w:szCs w:val="22"/>
        </w:rPr>
      </w:pPr>
      <w:r w:rsidRPr="00C25035">
        <w:rPr>
          <w:rFonts w:ascii="Arial" w:hAnsi="Arial" w:cs="Arial"/>
          <w:sz w:val="22"/>
          <w:szCs w:val="22"/>
        </w:rPr>
        <w:t>INSIGHT 2026 provides an important platform for knowledge exchange, collaboration, and innovation in the fields of information systems, artificial intelligence, and data science. The conference brings together scholars, researchers, industry professionals, practitioners, and other stakeholders to discuss sustainable practices, address emerging challenges, present technological advancements, and establish meaningful professional networks. Through these activities, we hope to contribute to the continued development of these closely interconnected fields.</w:t>
      </w:r>
    </w:p>
    <w:p w14:paraId="0C5FFD82" w14:textId="77777777" w:rsidR="00CC5A88" w:rsidRPr="00C25035" w:rsidRDefault="00CC5A88" w:rsidP="00CC5A88">
      <w:pPr>
        <w:spacing w:after="0"/>
        <w:jc w:val="both"/>
        <w:rPr>
          <w:rFonts w:ascii="Arial" w:hAnsi="Arial" w:cs="Arial"/>
          <w:sz w:val="22"/>
          <w:szCs w:val="22"/>
        </w:rPr>
      </w:pPr>
    </w:p>
    <w:p w14:paraId="598D1D19" w14:textId="77777777" w:rsidR="00CC5A88" w:rsidRPr="00C25035" w:rsidRDefault="00CC5A88" w:rsidP="00CC5A88">
      <w:pPr>
        <w:spacing w:after="0"/>
        <w:jc w:val="both"/>
        <w:rPr>
          <w:rFonts w:ascii="Arial" w:hAnsi="Arial" w:cs="Arial"/>
          <w:sz w:val="22"/>
          <w:szCs w:val="22"/>
        </w:rPr>
      </w:pPr>
      <w:r w:rsidRPr="00C25035">
        <w:rPr>
          <w:rFonts w:ascii="Arial" w:hAnsi="Arial" w:cs="Arial"/>
          <w:sz w:val="22"/>
          <w:szCs w:val="22"/>
        </w:rPr>
        <w:t>We are delighted to welcome authors and participants from more than five countries. We are also proud to witness the continued growth of INSIGHT as an internationally recognized academic forum. Beyond disseminating research findings, INSIGHT seeks to build bridges among academic, professional, and industrial communities, strengthen regional and international innovation ecosystems, and nurture the next generation of digital leaders.</w:t>
      </w:r>
    </w:p>
    <w:p w14:paraId="15A21CC1" w14:textId="77777777" w:rsidR="00CC5A88" w:rsidRPr="00C25035" w:rsidRDefault="00CC5A88" w:rsidP="00CC5A88">
      <w:pPr>
        <w:spacing w:after="0"/>
        <w:jc w:val="both"/>
        <w:rPr>
          <w:rFonts w:ascii="Arial" w:hAnsi="Arial" w:cs="Arial"/>
          <w:sz w:val="22"/>
          <w:szCs w:val="22"/>
        </w:rPr>
      </w:pPr>
    </w:p>
    <w:p w14:paraId="0735D555" w14:textId="77777777" w:rsidR="00CC5A88" w:rsidRPr="00C25035" w:rsidRDefault="00CC5A88" w:rsidP="00CC5A88">
      <w:pPr>
        <w:spacing w:after="0"/>
        <w:jc w:val="both"/>
        <w:rPr>
          <w:rFonts w:ascii="Arial" w:hAnsi="Arial" w:cs="Arial"/>
          <w:sz w:val="22"/>
          <w:szCs w:val="22"/>
        </w:rPr>
      </w:pPr>
      <w:r w:rsidRPr="00C25035">
        <w:rPr>
          <w:rFonts w:ascii="Arial" w:hAnsi="Arial" w:cs="Arial"/>
          <w:sz w:val="22"/>
          <w:szCs w:val="22"/>
        </w:rPr>
        <w:t>All accepted papers presented at INSIGHT 2026 will be published as part of Springer’s Lecture Notes in Networks and Systems (LNNS) book series and indexed in major scientific databases. This publication opportunity reflects our commitment to academic excellence, scholarly recognition, and global research visibility.</w:t>
      </w:r>
    </w:p>
    <w:p w14:paraId="3745E0B7" w14:textId="77777777" w:rsidR="00CC5A88" w:rsidRPr="00C25035" w:rsidRDefault="00CC5A88" w:rsidP="00CC5A88">
      <w:pPr>
        <w:spacing w:after="0"/>
        <w:jc w:val="both"/>
        <w:rPr>
          <w:rFonts w:ascii="Arial" w:hAnsi="Arial" w:cs="Arial"/>
          <w:sz w:val="22"/>
          <w:szCs w:val="22"/>
        </w:rPr>
      </w:pPr>
    </w:p>
    <w:p w14:paraId="0ECAA739" w14:textId="77777777" w:rsidR="00CC5A88" w:rsidRPr="00C25035" w:rsidRDefault="00CC5A88" w:rsidP="00CC5A88">
      <w:pPr>
        <w:spacing w:after="0"/>
        <w:jc w:val="both"/>
        <w:rPr>
          <w:rFonts w:ascii="Arial" w:hAnsi="Arial" w:cs="Arial"/>
          <w:sz w:val="22"/>
          <w:szCs w:val="22"/>
        </w:rPr>
      </w:pPr>
      <w:r w:rsidRPr="00C25035">
        <w:rPr>
          <w:rFonts w:ascii="Arial" w:hAnsi="Arial" w:cs="Arial"/>
          <w:sz w:val="22"/>
          <w:szCs w:val="22"/>
        </w:rPr>
        <w:t>I extend my sincere appreciation to the organizing committee, keynote speakers, reviewers, authors, sponsors, institutional partners, and all participants whose dedication and contributions have made this conference possible.</w:t>
      </w:r>
    </w:p>
    <w:p w14:paraId="0F7DE7EA" w14:textId="77777777" w:rsidR="00CC5A88" w:rsidRPr="00C25035" w:rsidRDefault="00CC5A88" w:rsidP="00CC5A88">
      <w:pPr>
        <w:spacing w:after="0"/>
        <w:jc w:val="both"/>
        <w:rPr>
          <w:rFonts w:ascii="Arial" w:hAnsi="Arial" w:cs="Arial"/>
          <w:sz w:val="22"/>
          <w:szCs w:val="22"/>
        </w:rPr>
      </w:pPr>
    </w:p>
    <w:p w14:paraId="6C36A3F1" w14:textId="77777777" w:rsidR="00CC5A88" w:rsidRPr="00C25035" w:rsidRDefault="00CC5A88" w:rsidP="00CC5A88">
      <w:pPr>
        <w:spacing w:after="0"/>
        <w:jc w:val="both"/>
        <w:rPr>
          <w:rFonts w:ascii="Arial" w:hAnsi="Arial" w:cs="Arial"/>
          <w:sz w:val="22"/>
          <w:szCs w:val="22"/>
        </w:rPr>
      </w:pPr>
      <w:r w:rsidRPr="00C25035">
        <w:rPr>
          <w:rFonts w:ascii="Arial" w:hAnsi="Arial" w:cs="Arial"/>
          <w:sz w:val="22"/>
          <w:szCs w:val="22"/>
        </w:rPr>
        <w:t>I wish everyone an inspiring, productive, and memorable conference. May INSIGHT 2026 generate meaningful discussions, foster new partnerships, and inspire innovative ideas that contribute to a secure, intelligent, sustainable, and connected future for all.</w:t>
      </w:r>
    </w:p>
    <w:p w14:paraId="073C4DA4" w14:textId="77777777" w:rsidR="00CC5A88" w:rsidRPr="00C25035" w:rsidRDefault="00CC5A88" w:rsidP="00CC5A88">
      <w:pPr>
        <w:spacing w:after="0"/>
        <w:jc w:val="both"/>
        <w:rPr>
          <w:rFonts w:ascii="Arial" w:hAnsi="Arial" w:cs="Arial"/>
          <w:sz w:val="22"/>
          <w:szCs w:val="22"/>
        </w:rPr>
      </w:pPr>
    </w:p>
    <w:p w14:paraId="2F7B2E13" w14:textId="77777777" w:rsidR="00CC5A88" w:rsidRPr="00C25035" w:rsidRDefault="00CC5A88" w:rsidP="00CC5A88">
      <w:pPr>
        <w:spacing w:after="0"/>
        <w:jc w:val="both"/>
        <w:rPr>
          <w:rFonts w:ascii="Arial" w:hAnsi="Arial" w:cs="Arial"/>
          <w:sz w:val="22"/>
          <w:szCs w:val="22"/>
        </w:rPr>
      </w:pPr>
      <w:r w:rsidRPr="00C25035">
        <w:rPr>
          <w:rFonts w:ascii="Arial" w:hAnsi="Arial" w:cs="Arial"/>
          <w:sz w:val="22"/>
          <w:szCs w:val="22"/>
        </w:rPr>
        <w:t>Thank you for being part of INSIGHT 2026.</w:t>
      </w:r>
    </w:p>
    <w:p w14:paraId="23A349CC" w14:textId="77777777" w:rsidR="00CC5A88" w:rsidRPr="00C25035" w:rsidRDefault="00CC5A88" w:rsidP="00CC5A88">
      <w:pPr>
        <w:spacing w:after="0"/>
        <w:jc w:val="both"/>
        <w:rPr>
          <w:rFonts w:ascii="Arial" w:hAnsi="Arial" w:cs="Arial"/>
          <w:sz w:val="22"/>
          <w:szCs w:val="22"/>
        </w:rPr>
      </w:pPr>
    </w:p>
    <w:p w14:paraId="4A52E81B" w14:textId="77777777" w:rsidR="00CC5A88" w:rsidRPr="00C25035" w:rsidRDefault="00CC5A88" w:rsidP="00CC5A88">
      <w:pPr>
        <w:spacing w:after="0"/>
        <w:jc w:val="both"/>
        <w:rPr>
          <w:rFonts w:ascii="Arial" w:hAnsi="Arial" w:cs="Arial"/>
          <w:sz w:val="22"/>
          <w:szCs w:val="22"/>
        </w:rPr>
      </w:pPr>
      <w:r w:rsidRPr="00C25035">
        <w:rPr>
          <w:rFonts w:ascii="Arial" w:hAnsi="Arial" w:cs="Arial"/>
          <w:sz w:val="22"/>
          <w:szCs w:val="22"/>
        </w:rPr>
        <w:t>Warm regards,</w:t>
      </w:r>
    </w:p>
    <w:p w14:paraId="699F3B35" w14:textId="77777777" w:rsidR="00CC5A88" w:rsidRPr="00C25035" w:rsidRDefault="00CC5A88" w:rsidP="00CC5A88">
      <w:pPr>
        <w:spacing w:after="0"/>
        <w:jc w:val="both"/>
        <w:rPr>
          <w:rFonts w:ascii="Arial" w:hAnsi="Arial" w:cs="Arial"/>
          <w:sz w:val="22"/>
          <w:szCs w:val="22"/>
        </w:rPr>
      </w:pPr>
    </w:p>
    <w:p w14:paraId="1CAF5392" w14:textId="33D34EE5" w:rsidR="00CC5A88" w:rsidRPr="00C25035" w:rsidRDefault="00A95F91" w:rsidP="00CC5A88">
      <w:pPr>
        <w:spacing w:after="0"/>
        <w:jc w:val="both"/>
        <w:rPr>
          <w:rFonts w:ascii="Arial" w:hAnsi="Arial" w:cs="Arial"/>
          <w:sz w:val="22"/>
          <w:szCs w:val="22"/>
        </w:rPr>
      </w:pPr>
      <w:r w:rsidRPr="00C25035">
        <w:rPr>
          <w:rFonts w:ascii="Arial" w:hAnsi="Arial" w:cs="Arial"/>
          <w:sz w:val="22"/>
          <w:szCs w:val="22"/>
        </w:rPr>
        <w:t xml:space="preserve">Assoc Prof. </w:t>
      </w:r>
      <w:r w:rsidR="00CC5A88" w:rsidRPr="00C25035">
        <w:rPr>
          <w:rFonts w:ascii="Arial" w:hAnsi="Arial" w:cs="Arial"/>
          <w:sz w:val="22"/>
          <w:szCs w:val="22"/>
        </w:rPr>
        <w:t>Ir. Tri Astoto Kurniawan, S.T., M.T., Ph.D., IPM</w:t>
      </w:r>
    </w:p>
    <w:p w14:paraId="0D25D06C" w14:textId="77777777" w:rsidR="00CC5A88" w:rsidRPr="00C25035" w:rsidRDefault="00CC5A88" w:rsidP="00CC5A88">
      <w:pPr>
        <w:spacing w:after="0"/>
        <w:jc w:val="both"/>
        <w:rPr>
          <w:rFonts w:ascii="Arial" w:hAnsi="Arial" w:cs="Arial"/>
          <w:sz w:val="22"/>
          <w:szCs w:val="22"/>
        </w:rPr>
      </w:pPr>
      <w:r w:rsidRPr="00C25035">
        <w:rPr>
          <w:rFonts w:ascii="Arial" w:hAnsi="Arial" w:cs="Arial"/>
          <w:sz w:val="22"/>
          <w:szCs w:val="22"/>
        </w:rPr>
        <w:t>Dean of the Faculty of Computer Science</w:t>
      </w:r>
    </w:p>
    <w:p w14:paraId="7EB9848A" w14:textId="77777777" w:rsidR="00CC5A88" w:rsidRPr="00C25035" w:rsidRDefault="00CC5A88" w:rsidP="00CC5A88">
      <w:pPr>
        <w:spacing w:after="0"/>
        <w:jc w:val="both"/>
        <w:rPr>
          <w:rFonts w:ascii="Arial" w:hAnsi="Arial" w:cs="Arial"/>
          <w:sz w:val="22"/>
          <w:szCs w:val="22"/>
        </w:rPr>
      </w:pPr>
      <w:r w:rsidRPr="00C25035">
        <w:rPr>
          <w:rFonts w:ascii="Arial" w:hAnsi="Arial" w:cs="Arial"/>
          <w:sz w:val="22"/>
          <w:szCs w:val="22"/>
        </w:rPr>
        <w:t>Universitas Brawijaya</w:t>
      </w:r>
    </w:p>
    <w:p w14:paraId="5B005065" w14:textId="77777777" w:rsidR="00A95F91" w:rsidRPr="00C25035" w:rsidRDefault="00A95F91" w:rsidP="00CC5A88">
      <w:pPr>
        <w:spacing w:after="0"/>
        <w:jc w:val="both"/>
        <w:rPr>
          <w:rFonts w:ascii="Arial" w:hAnsi="Arial" w:cs="Arial"/>
          <w:sz w:val="22"/>
          <w:szCs w:val="22"/>
        </w:rPr>
      </w:pPr>
    </w:p>
    <w:p w14:paraId="794A975A" w14:textId="3D9D52A7" w:rsidR="00A95F91" w:rsidRPr="00C25035" w:rsidRDefault="00A95F91">
      <w:pPr>
        <w:rPr>
          <w:rFonts w:ascii="Arial" w:hAnsi="Arial" w:cs="Arial"/>
          <w:sz w:val="22"/>
          <w:szCs w:val="22"/>
        </w:rPr>
      </w:pPr>
      <w:r w:rsidRPr="00C25035">
        <w:rPr>
          <w:rFonts w:ascii="Arial" w:hAnsi="Arial" w:cs="Arial"/>
          <w:sz w:val="22"/>
          <w:szCs w:val="22"/>
        </w:rPr>
        <w:br w:type="page"/>
      </w:r>
    </w:p>
    <w:p w14:paraId="07195DEF" w14:textId="77777777" w:rsidR="00A95F91" w:rsidRPr="00C25035" w:rsidRDefault="00A95F91" w:rsidP="00F15FF0">
      <w:pPr>
        <w:spacing w:after="0" w:line="276" w:lineRule="auto"/>
        <w:rPr>
          <w:rFonts w:ascii="Arial" w:eastAsia="Aptos" w:hAnsi="Arial" w:cs="Arial"/>
          <w:b/>
          <w:bCs/>
          <w:sz w:val="22"/>
          <w:szCs w:val="22"/>
        </w:rPr>
      </w:pPr>
      <w:r w:rsidRPr="00C25035">
        <w:rPr>
          <w:rFonts w:ascii="Arial" w:eastAsia="Aptos" w:hAnsi="Arial" w:cs="Arial"/>
          <w:b/>
          <w:bCs/>
          <w:sz w:val="22"/>
          <w:szCs w:val="22"/>
        </w:rPr>
        <w:lastRenderedPageBreak/>
        <w:t>WELCOME MESSAGE FROM THE DEAN OF SCHOOL OF ACCOUNTING</w:t>
      </w:r>
    </w:p>
    <w:p w14:paraId="73354D13" w14:textId="77777777" w:rsidR="00A95F91" w:rsidRPr="00C25035" w:rsidRDefault="00A95F91" w:rsidP="00F15FF0">
      <w:pPr>
        <w:spacing w:after="0" w:line="276" w:lineRule="auto"/>
        <w:rPr>
          <w:rFonts w:ascii="Arial" w:eastAsia="Aptos" w:hAnsi="Arial" w:cs="Arial"/>
          <w:sz w:val="22"/>
          <w:szCs w:val="22"/>
        </w:rPr>
      </w:pPr>
      <w:r w:rsidRPr="00C25035">
        <w:rPr>
          <w:rFonts w:ascii="Arial" w:eastAsia="Aptos" w:hAnsi="Arial" w:cs="Arial"/>
          <w:b/>
          <w:bCs/>
          <w:sz w:val="22"/>
          <w:szCs w:val="22"/>
        </w:rPr>
        <w:t>BINUS UNIVERSITY</w:t>
      </w:r>
    </w:p>
    <w:p w14:paraId="5EDAB508" w14:textId="77777777" w:rsidR="00A95F91" w:rsidRPr="00C25035" w:rsidRDefault="00A95F91" w:rsidP="00A95F91">
      <w:pPr>
        <w:spacing w:line="276" w:lineRule="auto"/>
        <w:jc w:val="both"/>
        <w:rPr>
          <w:rFonts w:ascii="Arial" w:eastAsia="Aptos" w:hAnsi="Arial" w:cs="Arial"/>
          <w:sz w:val="22"/>
          <w:szCs w:val="22"/>
        </w:rPr>
      </w:pPr>
    </w:p>
    <w:p w14:paraId="075FD9BD" w14:textId="77777777" w:rsidR="00A95F91" w:rsidRPr="00C25035" w:rsidRDefault="00A95F91" w:rsidP="00A95F91">
      <w:pPr>
        <w:spacing w:line="276" w:lineRule="auto"/>
        <w:jc w:val="both"/>
        <w:rPr>
          <w:rFonts w:ascii="Arial" w:eastAsia="Aptos" w:hAnsi="Arial" w:cs="Arial"/>
          <w:sz w:val="22"/>
          <w:szCs w:val="22"/>
        </w:rPr>
      </w:pPr>
      <w:r w:rsidRPr="00C25035">
        <w:rPr>
          <w:rFonts w:ascii="Arial" w:eastAsia="Aptos" w:hAnsi="Arial" w:cs="Arial"/>
          <w:sz w:val="22"/>
          <w:szCs w:val="22"/>
        </w:rPr>
        <w:t>Dear Distinguished Speakers, Researchers, Practitioners, Delegates, and Guests,</w:t>
      </w:r>
    </w:p>
    <w:p w14:paraId="0330D55F" w14:textId="77777777" w:rsidR="00A95F91" w:rsidRPr="00C25035" w:rsidRDefault="00A95F91" w:rsidP="00A95F91">
      <w:pPr>
        <w:spacing w:line="276" w:lineRule="auto"/>
        <w:jc w:val="both"/>
        <w:rPr>
          <w:rFonts w:ascii="Arial" w:eastAsia="Aptos" w:hAnsi="Arial" w:cs="Arial"/>
          <w:sz w:val="22"/>
          <w:szCs w:val="22"/>
        </w:rPr>
      </w:pPr>
      <w:r w:rsidRPr="00C25035">
        <w:rPr>
          <w:rFonts w:ascii="Arial" w:eastAsia="Aptos" w:hAnsi="Arial" w:cs="Arial"/>
          <w:sz w:val="22"/>
          <w:szCs w:val="22"/>
        </w:rPr>
        <w:t xml:space="preserve">It is my great pleasure to welcome you to the </w:t>
      </w:r>
      <w:r w:rsidRPr="00C25035">
        <w:rPr>
          <w:rFonts w:ascii="Arial" w:eastAsia="Aptos" w:hAnsi="Arial" w:cs="Arial"/>
          <w:b/>
          <w:bCs/>
          <w:sz w:val="22"/>
          <w:szCs w:val="22"/>
        </w:rPr>
        <w:t>International Conference on Information Systems and Intelligent Technologies (INSIGHT) 2026</w:t>
      </w:r>
      <w:r w:rsidRPr="00C25035">
        <w:rPr>
          <w:rFonts w:ascii="Arial" w:eastAsia="Aptos" w:hAnsi="Arial" w:cs="Arial"/>
          <w:sz w:val="22"/>
          <w:szCs w:val="22"/>
        </w:rPr>
        <w:t>, held on 19–20 August 2026 in Istanbul, Türkiye.</w:t>
      </w:r>
    </w:p>
    <w:p w14:paraId="03764959" w14:textId="77777777" w:rsidR="00A95F91" w:rsidRPr="00C25035" w:rsidRDefault="00A95F91" w:rsidP="00A95F91">
      <w:pPr>
        <w:spacing w:line="276" w:lineRule="auto"/>
        <w:jc w:val="both"/>
        <w:rPr>
          <w:rFonts w:ascii="Arial" w:eastAsia="Aptos" w:hAnsi="Arial" w:cs="Arial"/>
          <w:sz w:val="22"/>
          <w:szCs w:val="22"/>
        </w:rPr>
      </w:pPr>
      <w:r w:rsidRPr="00C25035">
        <w:rPr>
          <w:rFonts w:ascii="Arial" w:eastAsia="Aptos" w:hAnsi="Arial" w:cs="Arial"/>
          <w:sz w:val="22"/>
          <w:szCs w:val="22"/>
        </w:rPr>
        <w:t>On behalf of Binus University, I am honoured to support INSIGHT 2026 as a co-host. This conference brings together researchers, educators, industry professionals, policymakers, and other stakeholders from around the world to exchange ideas and explore how information systems and intelligent technologies can contribute to a more sustainable and inclusive future.</w:t>
      </w:r>
    </w:p>
    <w:p w14:paraId="6BE898C6" w14:textId="77777777" w:rsidR="00A95F91" w:rsidRPr="00C25035" w:rsidRDefault="00A95F91" w:rsidP="00A95F91">
      <w:pPr>
        <w:spacing w:line="276" w:lineRule="auto"/>
        <w:jc w:val="both"/>
        <w:rPr>
          <w:rFonts w:ascii="Arial" w:eastAsia="Aptos" w:hAnsi="Arial" w:cs="Arial"/>
          <w:sz w:val="22"/>
          <w:szCs w:val="22"/>
        </w:rPr>
      </w:pPr>
      <w:r w:rsidRPr="00C25035">
        <w:rPr>
          <w:rFonts w:ascii="Arial" w:eastAsia="Aptos" w:hAnsi="Arial" w:cs="Arial"/>
          <w:sz w:val="22"/>
          <w:szCs w:val="22"/>
        </w:rPr>
        <w:t xml:space="preserve">The conference theme, </w:t>
      </w:r>
      <w:r w:rsidRPr="00C25035">
        <w:rPr>
          <w:rFonts w:ascii="Arial" w:eastAsia="Aptos" w:hAnsi="Arial" w:cs="Arial"/>
          <w:b/>
          <w:bCs/>
          <w:sz w:val="22"/>
          <w:szCs w:val="22"/>
        </w:rPr>
        <w:t>“Integrating Information Systems and Artificial Intelligence Technology for Sustainable Innovation and Development,”</w:t>
      </w:r>
      <w:r w:rsidRPr="00C25035">
        <w:rPr>
          <w:rFonts w:ascii="Arial" w:eastAsia="Aptos" w:hAnsi="Arial" w:cs="Arial"/>
          <w:sz w:val="22"/>
          <w:szCs w:val="22"/>
        </w:rPr>
        <w:t xml:space="preserve"> is highly relevant to the opportunities and challenges we face today. Artificial intelligence and other emerging technologies are transforming how organisations operate, how decisions are made, and how people learn and communicate. At the same time, these developments invite us to consider important questions about ethics, security, privacy, accessibility, and environmental responsibility.</w:t>
      </w:r>
    </w:p>
    <w:p w14:paraId="5539D2AA" w14:textId="77777777" w:rsidR="00A95F91" w:rsidRPr="00C25035" w:rsidRDefault="00A95F91" w:rsidP="00A95F91">
      <w:pPr>
        <w:spacing w:line="276" w:lineRule="auto"/>
        <w:jc w:val="both"/>
        <w:rPr>
          <w:rFonts w:ascii="Arial" w:eastAsia="Aptos" w:hAnsi="Arial" w:cs="Arial"/>
          <w:sz w:val="22"/>
          <w:szCs w:val="22"/>
        </w:rPr>
      </w:pPr>
      <w:r w:rsidRPr="00C25035">
        <w:rPr>
          <w:rFonts w:ascii="Arial" w:eastAsia="Aptos" w:hAnsi="Arial" w:cs="Arial"/>
          <w:sz w:val="22"/>
          <w:szCs w:val="22"/>
        </w:rPr>
        <w:t>INSIGHT 2026 provides a valuable space to explore these questions together. Beyond presenting research findings, the conference offers opportunities to exchange perspectives, learn from different experiences, and build connections across disciplines, institutions, industries, and countries. These conversations are essential because meaningful innovation rarely happens in isolation. It grows through openness, collaboration, and a willingness to learn from one another.</w:t>
      </w:r>
    </w:p>
    <w:p w14:paraId="2653A04C" w14:textId="77777777" w:rsidR="00A95F91" w:rsidRPr="00C25035" w:rsidRDefault="00A95F91" w:rsidP="00A95F91">
      <w:pPr>
        <w:spacing w:line="276" w:lineRule="auto"/>
        <w:jc w:val="both"/>
        <w:rPr>
          <w:rFonts w:ascii="Arial" w:eastAsia="Aptos" w:hAnsi="Arial" w:cs="Arial"/>
          <w:sz w:val="22"/>
          <w:szCs w:val="22"/>
        </w:rPr>
      </w:pPr>
      <w:r w:rsidRPr="00C25035">
        <w:rPr>
          <w:rFonts w:ascii="Arial" w:eastAsia="Aptos" w:hAnsi="Arial" w:cs="Arial"/>
          <w:sz w:val="22"/>
          <w:szCs w:val="22"/>
        </w:rPr>
        <w:t>I hope the ideas shared during this conference will inspire further research, practical solutions, and partnerships that continue long after the event. May INSIGHT 2026 encourage us not only to develop more advanced technologies but also to think carefully about how those technologies can create lasting value for organisations, communities, and society.</w:t>
      </w:r>
    </w:p>
    <w:p w14:paraId="71394398" w14:textId="77777777" w:rsidR="00A95F91" w:rsidRPr="00C25035" w:rsidRDefault="00A95F91" w:rsidP="00A95F91">
      <w:pPr>
        <w:spacing w:line="276" w:lineRule="auto"/>
        <w:jc w:val="both"/>
        <w:rPr>
          <w:rFonts w:ascii="Arial" w:eastAsia="Aptos" w:hAnsi="Arial" w:cs="Arial"/>
          <w:sz w:val="22"/>
          <w:szCs w:val="22"/>
        </w:rPr>
      </w:pPr>
      <w:r w:rsidRPr="00C25035">
        <w:rPr>
          <w:rFonts w:ascii="Arial" w:eastAsia="Aptos" w:hAnsi="Arial" w:cs="Arial"/>
          <w:sz w:val="22"/>
          <w:szCs w:val="22"/>
        </w:rPr>
        <w:t>I would like to express my sincere appreciation to the organising committee, co-organisers, keynote speakers, reviewers, authors, institutional partners, sponsors, and volunteers whose dedication has made this conference possible. I also thank all participants for contributing your knowledge, experience, and curiosity to this international forum.</w:t>
      </w:r>
    </w:p>
    <w:p w14:paraId="3CE32311" w14:textId="77777777" w:rsidR="00A95F91" w:rsidRPr="00C25035" w:rsidRDefault="00A95F91" w:rsidP="00A95F91">
      <w:pPr>
        <w:spacing w:line="276" w:lineRule="auto"/>
        <w:jc w:val="both"/>
        <w:rPr>
          <w:rFonts w:ascii="Arial" w:eastAsia="Aptos" w:hAnsi="Arial" w:cs="Arial"/>
          <w:sz w:val="22"/>
          <w:szCs w:val="22"/>
        </w:rPr>
      </w:pPr>
      <w:r w:rsidRPr="00C25035">
        <w:rPr>
          <w:rFonts w:ascii="Arial" w:eastAsia="Aptos" w:hAnsi="Arial" w:cs="Arial"/>
          <w:sz w:val="22"/>
          <w:szCs w:val="22"/>
        </w:rPr>
        <w:t>For those joining us in person, I hope you will also enjoy the rich history, vibrant culture, and warm hospitality of Istanbul.</w:t>
      </w:r>
    </w:p>
    <w:p w14:paraId="70C51EF6" w14:textId="77777777" w:rsidR="00A95F91" w:rsidRPr="00C25035" w:rsidRDefault="00A95F91" w:rsidP="00A95F91">
      <w:pPr>
        <w:spacing w:line="276" w:lineRule="auto"/>
        <w:jc w:val="both"/>
        <w:rPr>
          <w:rFonts w:ascii="Arial" w:eastAsia="Aptos" w:hAnsi="Arial" w:cs="Arial"/>
          <w:sz w:val="22"/>
          <w:szCs w:val="22"/>
        </w:rPr>
      </w:pPr>
      <w:r w:rsidRPr="00C25035">
        <w:rPr>
          <w:rFonts w:ascii="Arial" w:eastAsia="Aptos" w:hAnsi="Arial" w:cs="Arial"/>
          <w:sz w:val="22"/>
          <w:szCs w:val="22"/>
        </w:rPr>
        <w:t>Welcome to INSIGHT 2026. May this conference be an inspiring, productive, and memorable experience for us all.</w:t>
      </w:r>
    </w:p>
    <w:p w14:paraId="54270A2C" w14:textId="77777777" w:rsidR="00A95F91" w:rsidRPr="00C25035" w:rsidRDefault="00A95F91" w:rsidP="00A95F91">
      <w:pPr>
        <w:spacing w:line="276" w:lineRule="auto"/>
        <w:jc w:val="both"/>
        <w:rPr>
          <w:rFonts w:ascii="Arial" w:eastAsia="Aptos" w:hAnsi="Arial" w:cs="Arial"/>
          <w:b/>
          <w:bCs/>
          <w:sz w:val="22"/>
          <w:szCs w:val="22"/>
        </w:rPr>
      </w:pPr>
    </w:p>
    <w:p w14:paraId="78BE11F2" w14:textId="77777777" w:rsidR="00A95F91" w:rsidRPr="00C25035" w:rsidRDefault="00A95F91" w:rsidP="00A95F91">
      <w:pPr>
        <w:spacing w:after="0" w:line="240" w:lineRule="auto"/>
        <w:jc w:val="both"/>
        <w:rPr>
          <w:rFonts w:ascii="Arial" w:eastAsia="Aptos" w:hAnsi="Arial" w:cs="Arial"/>
          <w:sz w:val="22"/>
          <w:szCs w:val="22"/>
        </w:rPr>
      </w:pPr>
      <w:r w:rsidRPr="00C25035">
        <w:rPr>
          <w:rFonts w:ascii="Arial" w:eastAsia="Aptos" w:hAnsi="Arial" w:cs="Arial"/>
          <w:sz w:val="22"/>
          <w:szCs w:val="22"/>
        </w:rPr>
        <w:t>Warm Regards,</w:t>
      </w:r>
    </w:p>
    <w:p w14:paraId="2EC37A8F" w14:textId="77777777" w:rsidR="00A95F91" w:rsidRPr="00C25035" w:rsidRDefault="00A95F91" w:rsidP="00A95F91">
      <w:pPr>
        <w:spacing w:after="0" w:line="240" w:lineRule="auto"/>
        <w:jc w:val="both"/>
        <w:rPr>
          <w:rFonts w:ascii="Arial" w:eastAsia="Aptos" w:hAnsi="Arial" w:cs="Arial"/>
          <w:sz w:val="22"/>
          <w:szCs w:val="22"/>
        </w:rPr>
      </w:pPr>
    </w:p>
    <w:p w14:paraId="1C418D5A" w14:textId="77777777" w:rsidR="00A95F91" w:rsidRPr="00C25035" w:rsidRDefault="00A95F91" w:rsidP="00A95F91">
      <w:pPr>
        <w:spacing w:after="0" w:line="240" w:lineRule="auto"/>
        <w:jc w:val="both"/>
        <w:rPr>
          <w:rFonts w:ascii="Arial" w:eastAsia="Aptos" w:hAnsi="Arial" w:cs="Arial"/>
          <w:sz w:val="22"/>
          <w:szCs w:val="22"/>
        </w:rPr>
      </w:pPr>
      <w:r w:rsidRPr="00C25035">
        <w:rPr>
          <w:rFonts w:ascii="Arial" w:eastAsia="Aptos" w:hAnsi="Arial" w:cs="Arial"/>
          <w:sz w:val="22"/>
          <w:szCs w:val="22"/>
        </w:rPr>
        <w:t>Prof. Rindang Widuri, PhD</w:t>
      </w:r>
    </w:p>
    <w:p w14:paraId="19D88187" w14:textId="77777777" w:rsidR="00A95F91" w:rsidRPr="00C25035" w:rsidRDefault="00A95F91" w:rsidP="00A95F91">
      <w:pPr>
        <w:spacing w:after="0" w:line="240" w:lineRule="auto"/>
        <w:jc w:val="both"/>
        <w:rPr>
          <w:rFonts w:ascii="Arial" w:eastAsia="Aptos" w:hAnsi="Arial" w:cs="Arial"/>
          <w:sz w:val="22"/>
          <w:szCs w:val="22"/>
        </w:rPr>
      </w:pPr>
      <w:r w:rsidRPr="00C25035">
        <w:rPr>
          <w:rFonts w:ascii="Arial" w:eastAsia="Aptos" w:hAnsi="Arial" w:cs="Arial"/>
          <w:sz w:val="22"/>
          <w:szCs w:val="22"/>
        </w:rPr>
        <w:t>Dean of School of Accounting</w:t>
      </w:r>
    </w:p>
    <w:p w14:paraId="21EDC4A1" w14:textId="77777777" w:rsidR="00A95F91" w:rsidRPr="00C25035" w:rsidRDefault="00A95F91" w:rsidP="00A95F91">
      <w:pPr>
        <w:spacing w:after="0" w:line="240" w:lineRule="auto"/>
        <w:jc w:val="both"/>
        <w:rPr>
          <w:rFonts w:ascii="Arial" w:eastAsia="Aptos" w:hAnsi="Arial" w:cs="Arial"/>
          <w:sz w:val="22"/>
          <w:szCs w:val="22"/>
        </w:rPr>
      </w:pPr>
      <w:r w:rsidRPr="00C25035">
        <w:rPr>
          <w:rFonts w:ascii="Arial" w:eastAsia="Aptos" w:hAnsi="Arial" w:cs="Arial"/>
          <w:sz w:val="22"/>
          <w:szCs w:val="22"/>
        </w:rPr>
        <w:t>Binus University</w:t>
      </w:r>
    </w:p>
    <w:p w14:paraId="44420271" w14:textId="77777777" w:rsidR="00C25035" w:rsidRDefault="00C25035" w:rsidP="00644298">
      <w:pPr>
        <w:jc w:val="center"/>
        <w:rPr>
          <w:b/>
          <w:bCs/>
        </w:rPr>
      </w:pPr>
    </w:p>
    <w:p w14:paraId="322674B1" w14:textId="77777777" w:rsidR="00C25035" w:rsidRDefault="00C25035" w:rsidP="00644298">
      <w:pPr>
        <w:jc w:val="center"/>
        <w:rPr>
          <w:b/>
          <w:bCs/>
        </w:rPr>
      </w:pPr>
    </w:p>
    <w:p w14:paraId="22EE3EF9" w14:textId="62659DCD" w:rsidR="00644298" w:rsidRDefault="00644298" w:rsidP="00F15FF0">
      <w:pPr>
        <w:rPr>
          <w:rFonts w:ascii="Arial" w:hAnsi="Arial" w:cs="Arial"/>
          <w:b/>
          <w:bCs/>
          <w:sz w:val="22"/>
          <w:szCs w:val="22"/>
        </w:rPr>
      </w:pPr>
      <w:r w:rsidRPr="00C25035">
        <w:rPr>
          <w:rFonts w:ascii="Arial" w:hAnsi="Arial" w:cs="Arial"/>
          <w:b/>
          <w:bCs/>
          <w:sz w:val="22"/>
          <w:szCs w:val="22"/>
        </w:rPr>
        <w:lastRenderedPageBreak/>
        <w:t>F</w:t>
      </w:r>
      <w:r w:rsidR="00F15FF0">
        <w:rPr>
          <w:rFonts w:ascii="Arial" w:hAnsi="Arial" w:cs="Arial"/>
          <w:b/>
          <w:bCs/>
          <w:sz w:val="22"/>
          <w:szCs w:val="22"/>
        </w:rPr>
        <w:t xml:space="preserve">OREWORD FROM THE GENERAL CHAIR </w:t>
      </w:r>
    </w:p>
    <w:p w14:paraId="428A8C7A" w14:textId="77777777" w:rsidR="00C25035" w:rsidRPr="00C25035" w:rsidRDefault="00C25035" w:rsidP="00644298">
      <w:pPr>
        <w:jc w:val="center"/>
        <w:rPr>
          <w:rFonts w:ascii="Arial" w:hAnsi="Arial" w:cs="Arial"/>
          <w:b/>
          <w:bCs/>
          <w:sz w:val="22"/>
          <w:szCs w:val="22"/>
        </w:rPr>
      </w:pPr>
    </w:p>
    <w:p w14:paraId="28F2A1B0" w14:textId="77777777" w:rsidR="00644298" w:rsidRPr="00C25035" w:rsidRDefault="00644298" w:rsidP="00644298">
      <w:pPr>
        <w:jc w:val="both"/>
        <w:rPr>
          <w:rFonts w:ascii="Arial" w:hAnsi="Arial" w:cs="Arial"/>
          <w:sz w:val="22"/>
          <w:szCs w:val="22"/>
        </w:rPr>
      </w:pPr>
      <w:r w:rsidRPr="00C25035">
        <w:rPr>
          <w:rFonts w:ascii="Arial" w:hAnsi="Arial" w:cs="Arial"/>
          <w:sz w:val="22"/>
          <w:szCs w:val="22"/>
        </w:rPr>
        <w:t>It is my great pleasure to welcome you to the 2026 International Conference on Information Systems and Intelligent Technologies (INSIGHT 2026), held on 19–20 August 2026 at Istanbul Gelisim University, Istanbul, Türkiye.</w:t>
      </w:r>
    </w:p>
    <w:p w14:paraId="7F319E7F" w14:textId="77777777" w:rsidR="00644298" w:rsidRPr="00C25035" w:rsidRDefault="00644298" w:rsidP="00644298">
      <w:pPr>
        <w:jc w:val="both"/>
        <w:rPr>
          <w:rFonts w:ascii="Arial" w:hAnsi="Arial" w:cs="Arial"/>
          <w:sz w:val="22"/>
          <w:szCs w:val="22"/>
        </w:rPr>
      </w:pPr>
      <w:r w:rsidRPr="00C25035">
        <w:rPr>
          <w:rFonts w:ascii="Arial" w:hAnsi="Arial" w:cs="Arial"/>
          <w:sz w:val="22"/>
          <w:szCs w:val="22"/>
        </w:rPr>
        <w:t>INSIGHT 2026 provides an international platform for researchers, academics, industry professionals, and students to share the latest research, innovative ideas, and practical applications in the fields of information systems and intelligent technologies. The conference encourages collaboration across disciplines to address current challenges and explore future opportunities in digital transformation and emerging technologies.</w:t>
      </w:r>
    </w:p>
    <w:p w14:paraId="2D9A6BDE" w14:textId="77777777" w:rsidR="00644298" w:rsidRPr="00C25035" w:rsidRDefault="00644298" w:rsidP="00644298">
      <w:pPr>
        <w:jc w:val="both"/>
        <w:rPr>
          <w:rFonts w:ascii="Arial" w:hAnsi="Arial" w:cs="Arial"/>
          <w:sz w:val="22"/>
          <w:szCs w:val="22"/>
        </w:rPr>
      </w:pPr>
      <w:r w:rsidRPr="00C25035">
        <w:rPr>
          <w:rFonts w:ascii="Arial" w:hAnsi="Arial" w:cs="Arial"/>
          <w:sz w:val="22"/>
          <w:szCs w:val="22"/>
        </w:rPr>
        <w:t>This year's program features high-quality research papers, keynote speeches by distinguished experts, and technical sessions covering a wide range of topics, including artificial intelligence, data science, cybersecurity, software engineering, the Internet of Things, and intelligent information systems. We hope these discussions will inspire new ideas, promote knowledge exchange, and strengthen international research collaboration.</w:t>
      </w:r>
    </w:p>
    <w:p w14:paraId="1828F5B3" w14:textId="77777777" w:rsidR="00644298" w:rsidRPr="00C25035" w:rsidRDefault="00644298" w:rsidP="00644298">
      <w:pPr>
        <w:jc w:val="both"/>
        <w:rPr>
          <w:rFonts w:ascii="Arial" w:hAnsi="Arial" w:cs="Arial"/>
          <w:sz w:val="22"/>
          <w:szCs w:val="22"/>
        </w:rPr>
      </w:pPr>
      <w:r w:rsidRPr="00C25035">
        <w:rPr>
          <w:rFonts w:ascii="Arial" w:hAnsi="Arial" w:cs="Arial"/>
          <w:sz w:val="22"/>
          <w:szCs w:val="22"/>
        </w:rPr>
        <w:t>On behalf of the Organizing Committee, I would like to express my sincere appreciation to all authors, reviewers, keynote speakers, session chairs, sponsors, and partner institutions for their valuable contributions and commitment to the success of INSIGHT 2026. Their dedication has made this conference possible.</w:t>
      </w:r>
    </w:p>
    <w:p w14:paraId="76668387" w14:textId="77777777" w:rsidR="00644298" w:rsidRPr="00C25035" w:rsidRDefault="00644298" w:rsidP="00644298">
      <w:pPr>
        <w:jc w:val="both"/>
        <w:rPr>
          <w:rFonts w:ascii="Arial" w:hAnsi="Arial" w:cs="Arial"/>
          <w:sz w:val="22"/>
          <w:szCs w:val="22"/>
        </w:rPr>
      </w:pPr>
      <w:r w:rsidRPr="00C25035">
        <w:rPr>
          <w:rFonts w:ascii="Arial" w:hAnsi="Arial" w:cs="Arial"/>
          <w:sz w:val="22"/>
          <w:szCs w:val="22"/>
        </w:rPr>
        <w:t>I also extend my gratitude to Istanbul Gelisim University for hosting this event and providing an excellent environment for academic exchange and collaboration.</w:t>
      </w:r>
    </w:p>
    <w:p w14:paraId="55D0D863" w14:textId="77777777" w:rsidR="00644298" w:rsidRPr="00C25035" w:rsidRDefault="00644298" w:rsidP="00644298">
      <w:pPr>
        <w:jc w:val="both"/>
        <w:rPr>
          <w:rFonts w:ascii="Arial" w:hAnsi="Arial" w:cs="Arial"/>
          <w:sz w:val="22"/>
          <w:szCs w:val="22"/>
        </w:rPr>
      </w:pPr>
      <w:r w:rsidRPr="00C25035">
        <w:rPr>
          <w:rFonts w:ascii="Arial" w:hAnsi="Arial" w:cs="Arial"/>
          <w:sz w:val="22"/>
          <w:szCs w:val="22"/>
        </w:rPr>
        <w:t>I wish all participants a productive and enjoyable conference, and I hope your experience at INSIGHT 2026 will lead to meaningful discussions, valuable networking opportunities, and future collaborations.</w:t>
      </w:r>
    </w:p>
    <w:p w14:paraId="480A4207" w14:textId="77777777" w:rsidR="00644298" w:rsidRPr="00C25035" w:rsidRDefault="00644298" w:rsidP="00644298">
      <w:pPr>
        <w:jc w:val="both"/>
        <w:rPr>
          <w:rFonts w:ascii="Arial" w:hAnsi="Arial" w:cs="Arial"/>
          <w:sz w:val="22"/>
          <w:szCs w:val="22"/>
        </w:rPr>
      </w:pPr>
      <w:r w:rsidRPr="00C25035">
        <w:rPr>
          <w:rFonts w:ascii="Arial" w:hAnsi="Arial" w:cs="Arial"/>
          <w:sz w:val="22"/>
          <w:szCs w:val="22"/>
        </w:rPr>
        <w:t>Thank you for your participation, and welcome to INSIGHT 2026.</w:t>
      </w:r>
    </w:p>
    <w:p w14:paraId="4C93EE3E" w14:textId="2BAD516F" w:rsidR="00644298" w:rsidRPr="00C25035" w:rsidRDefault="00644298" w:rsidP="008A7495">
      <w:pPr>
        <w:rPr>
          <w:rFonts w:ascii="Arial" w:hAnsi="Arial" w:cs="Arial"/>
          <w:sz w:val="22"/>
          <w:szCs w:val="22"/>
        </w:rPr>
      </w:pPr>
      <w:r w:rsidRPr="00C25035">
        <w:rPr>
          <w:rFonts w:ascii="Arial" w:hAnsi="Arial" w:cs="Arial"/>
          <w:sz w:val="22"/>
          <w:szCs w:val="22"/>
        </w:rPr>
        <w:t>Prof. Deden W. Jacob</w:t>
      </w:r>
      <w:r w:rsidRPr="00C25035">
        <w:rPr>
          <w:rFonts w:ascii="Arial" w:hAnsi="Arial" w:cs="Arial"/>
          <w:sz w:val="22"/>
          <w:szCs w:val="22"/>
        </w:rPr>
        <w:br/>
        <w:t>General Chair</w:t>
      </w:r>
      <w:r w:rsidRPr="00C25035">
        <w:rPr>
          <w:rFonts w:ascii="Arial" w:hAnsi="Arial" w:cs="Arial"/>
          <w:sz w:val="22"/>
          <w:szCs w:val="22"/>
        </w:rPr>
        <w:br/>
        <w:t xml:space="preserve">2026 International Conference on Information Systems and Intelligent Technologies </w:t>
      </w:r>
    </w:p>
    <w:p w14:paraId="1D9EB00D" w14:textId="77777777" w:rsidR="00995DB6" w:rsidRPr="00C25035" w:rsidRDefault="00995DB6" w:rsidP="00644298">
      <w:pPr>
        <w:jc w:val="both"/>
        <w:rPr>
          <w:rFonts w:ascii="Arial" w:hAnsi="Arial" w:cs="Arial"/>
          <w:sz w:val="22"/>
          <w:szCs w:val="22"/>
        </w:rPr>
      </w:pPr>
    </w:p>
    <w:p w14:paraId="62665832" w14:textId="21D0A24B" w:rsidR="00C66B8D" w:rsidRPr="00C25035" w:rsidRDefault="00B32331" w:rsidP="00B32331">
      <w:pPr>
        <w:rPr>
          <w:sz w:val="22"/>
          <w:szCs w:val="22"/>
        </w:rPr>
      </w:pPr>
      <w:r w:rsidRPr="00C25035">
        <w:rPr>
          <w:sz w:val="22"/>
          <w:szCs w:val="22"/>
        </w:rPr>
        <w:br w:type="page"/>
      </w:r>
    </w:p>
    <w:p w14:paraId="440C72FF" w14:textId="241D3BF8" w:rsidR="00C66B8D" w:rsidRPr="00AE1338" w:rsidRDefault="00C66B8D" w:rsidP="00A51969">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jc w:val="center"/>
        <w:rPr>
          <w:rFonts w:ascii="Arial" w:hAnsi="Arial" w:cs="Arial"/>
          <w:b/>
          <w:bCs/>
          <w:sz w:val="20"/>
          <w:szCs w:val="20"/>
          <w:lang w:val="en-US"/>
        </w:rPr>
      </w:pPr>
      <w:r w:rsidRPr="00AE1338">
        <w:rPr>
          <w:rFonts w:ascii="Arial" w:hAnsi="Arial" w:cs="Arial"/>
          <w:b/>
          <w:bCs/>
          <w:sz w:val="20"/>
          <w:szCs w:val="20"/>
          <w:lang w:val="en-US"/>
        </w:rPr>
        <w:lastRenderedPageBreak/>
        <w:t>KEYNOTE SPEAKERS</w:t>
      </w:r>
    </w:p>
    <w:p w14:paraId="4E794FD3" w14:textId="77777777" w:rsidR="00C66B8D" w:rsidRPr="00AE1338" w:rsidRDefault="00C66B8D" w:rsidP="00A51969">
      <w:pPr>
        <w:spacing w:after="0" w:line="240" w:lineRule="auto"/>
        <w:rPr>
          <w:rFonts w:ascii="Arial" w:hAnsi="Arial" w:cs="Arial"/>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8"/>
        <w:gridCol w:w="4868"/>
      </w:tblGrid>
      <w:tr w:rsidR="0075434E" w:rsidRPr="00AE1338" w14:paraId="250E696B" w14:textId="77777777" w:rsidTr="00277C57">
        <w:tc>
          <w:tcPr>
            <w:tcW w:w="4868" w:type="dxa"/>
          </w:tcPr>
          <w:p w14:paraId="0622EECF" w14:textId="50D69053" w:rsidR="0075434E" w:rsidRDefault="00E96ED1" w:rsidP="00A51969">
            <w:pPr>
              <w:jc w:val="center"/>
              <w:rPr>
                <w:rFonts w:ascii="Arial" w:hAnsi="Arial" w:cs="Arial"/>
                <w:sz w:val="20"/>
                <w:szCs w:val="20"/>
              </w:rPr>
            </w:pPr>
            <w:r w:rsidRPr="00E96ED1">
              <w:rPr>
                <w:rFonts w:ascii="Arial" w:hAnsi="Arial" w:cs="Arial"/>
                <w:b/>
                <w:bCs/>
                <w:sz w:val="20"/>
                <w:szCs w:val="20"/>
                <w:lang w:val="sv-SE"/>
              </w:rPr>
              <w:t>PROF. MADYA Dr. MUHAINI BINTI OTHMAN</w:t>
            </w:r>
            <w:r w:rsidR="0075434E" w:rsidRPr="0075434E">
              <w:rPr>
                <w:rFonts w:ascii="Arial" w:hAnsi="Arial" w:cs="Arial"/>
                <w:sz w:val="20"/>
                <w:szCs w:val="20"/>
              </w:rPr>
              <w:t>, Faculty of Computer Science &amp; Information Technology, Universiti Tun Hussein Onn Malaysia</w:t>
            </w:r>
          </w:p>
          <w:p w14:paraId="77014AD1" w14:textId="0A12219B" w:rsidR="00482C2D" w:rsidRPr="0075434E" w:rsidRDefault="00482C2D" w:rsidP="00A51969">
            <w:pPr>
              <w:jc w:val="center"/>
              <w:rPr>
                <w:rFonts w:ascii="Arial" w:hAnsi="Arial" w:cs="Arial"/>
                <w:sz w:val="20"/>
                <w:szCs w:val="20"/>
                <w:lang w:val="en-US"/>
              </w:rPr>
            </w:pPr>
          </w:p>
        </w:tc>
        <w:tc>
          <w:tcPr>
            <w:tcW w:w="4868" w:type="dxa"/>
          </w:tcPr>
          <w:p w14:paraId="343A1172" w14:textId="77777777" w:rsidR="0075434E" w:rsidRPr="0075434E" w:rsidRDefault="0075434E" w:rsidP="00A51969">
            <w:pPr>
              <w:jc w:val="center"/>
              <w:rPr>
                <w:rFonts w:ascii="Arial" w:hAnsi="Arial" w:cs="Arial"/>
                <w:b/>
                <w:bCs/>
                <w:sz w:val="20"/>
                <w:szCs w:val="20"/>
              </w:rPr>
            </w:pPr>
            <w:r w:rsidRPr="0075434E">
              <w:rPr>
                <w:rFonts w:ascii="Arial" w:hAnsi="Arial" w:cs="Arial"/>
                <w:b/>
                <w:bCs/>
                <w:sz w:val="20"/>
                <w:szCs w:val="20"/>
              </w:rPr>
              <w:t>Dr. Esra ERGÜN</w:t>
            </w:r>
          </w:p>
          <w:p w14:paraId="07A02093" w14:textId="07ED4343" w:rsidR="0075434E" w:rsidRPr="00AE1338" w:rsidRDefault="0075434E" w:rsidP="00A51969">
            <w:pPr>
              <w:jc w:val="center"/>
              <w:rPr>
                <w:rFonts w:ascii="Arial" w:hAnsi="Arial" w:cs="Arial"/>
                <w:sz w:val="20"/>
                <w:szCs w:val="20"/>
                <w:lang w:val="en-US"/>
              </w:rPr>
            </w:pPr>
            <w:r w:rsidRPr="0075434E">
              <w:rPr>
                <w:rFonts w:ascii="Arial" w:hAnsi="Arial" w:cs="Arial"/>
                <w:sz w:val="20"/>
                <w:szCs w:val="20"/>
              </w:rPr>
              <w:t xml:space="preserve">Microsoft, </w:t>
            </w:r>
            <w:proofErr w:type="gramStart"/>
            <w:r w:rsidRPr="0075434E">
              <w:rPr>
                <w:rFonts w:ascii="Arial" w:hAnsi="Arial" w:cs="Arial"/>
                <w:sz w:val="20"/>
                <w:szCs w:val="20"/>
              </w:rPr>
              <w:t>Principle</w:t>
            </w:r>
            <w:proofErr w:type="gramEnd"/>
            <w:r w:rsidRPr="0075434E">
              <w:rPr>
                <w:rFonts w:ascii="Arial" w:hAnsi="Arial" w:cs="Arial"/>
                <w:sz w:val="20"/>
                <w:szCs w:val="20"/>
              </w:rPr>
              <w:t xml:space="preserve"> Customer Success Account Manager, Turkiye</w:t>
            </w:r>
          </w:p>
        </w:tc>
      </w:tr>
      <w:tr w:rsidR="0075434E" w:rsidRPr="00AE1338" w14:paraId="5B81D393" w14:textId="77777777" w:rsidTr="00277C57">
        <w:tc>
          <w:tcPr>
            <w:tcW w:w="4868" w:type="dxa"/>
          </w:tcPr>
          <w:p w14:paraId="00FE8438" w14:textId="77777777" w:rsidR="0075434E" w:rsidRDefault="0075434E" w:rsidP="00A51969">
            <w:pPr>
              <w:jc w:val="center"/>
              <w:rPr>
                <w:rFonts w:ascii="Arial" w:hAnsi="Arial" w:cs="Arial"/>
                <w:b/>
                <w:bCs/>
                <w:sz w:val="20"/>
                <w:szCs w:val="20"/>
              </w:rPr>
            </w:pPr>
            <w:r w:rsidRPr="0075434E">
              <w:rPr>
                <w:rFonts w:ascii="Arial" w:hAnsi="Arial" w:cs="Arial"/>
                <w:b/>
                <w:bCs/>
                <w:sz w:val="20"/>
                <w:szCs w:val="20"/>
              </w:rPr>
              <w:t>Asst. Professor Gideon Mekonnen Jonathan</w:t>
            </w:r>
          </w:p>
          <w:p w14:paraId="1B6BD28F" w14:textId="34808E4B" w:rsidR="0075434E" w:rsidRPr="0075434E" w:rsidRDefault="0075434E" w:rsidP="00A51969">
            <w:pPr>
              <w:jc w:val="center"/>
              <w:rPr>
                <w:rFonts w:ascii="Arial" w:hAnsi="Arial" w:cs="Arial"/>
                <w:sz w:val="20"/>
                <w:szCs w:val="20"/>
                <w:lang w:val="en-US"/>
              </w:rPr>
            </w:pPr>
            <w:r w:rsidRPr="0075434E">
              <w:rPr>
                <w:rFonts w:ascii="Arial" w:hAnsi="Arial" w:cs="Arial"/>
                <w:sz w:val="20"/>
                <w:szCs w:val="20"/>
              </w:rPr>
              <w:t xml:space="preserve">Department of Computer and Systems Sciences (DSV), Stockholm </w:t>
            </w:r>
            <w:r w:rsidR="00543987" w:rsidRPr="0075434E">
              <w:rPr>
                <w:rFonts w:ascii="Arial" w:hAnsi="Arial" w:cs="Arial"/>
                <w:sz w:val="20"/>
                <w:szCs w:val="20"/>
              </w:rPr>
              <w:t>University,</w:t>
            </w:r>
            <w:r w:rsidRPr="0075434E">
              <w:rPr>
                <w:rFonts w:ascii="Arial" w:hAnsi="Arial" w:cs="Arial"/>
                <w:sz w:val="20"/>
                <w:szCs w:val="20"/>
              </w:rPr>
              <w:t xml:space="preserve"> Sweden</w:t>
            </w:r>
          </w:p>
        </w:tc>
        <w:tc>
          <w:tcPr>
            <w:tcW w:w="4868" w:type="dxa"/>
          </w:tcPr>
          <w:p w14:paraId="450762CB" w14:textId="77777777" w:rsidR="00277C57" w:rsidRPr="00277C57" w:rsidRDefault="00277C57" w:rsidP="00A51969">
            <w:pPr>
              <w:jc w:val="center"/>
              <w:rPr>
                <w:rFonts w:ascii="Arial" w:hAnsi="Arial" w:cs="Arial"/>
                <w:b/>
                <w:bCs/>
                <w:sz w:val="20"/>
                <w:szCs w:val="20"/>
              </w:rPr>
            </w:pPr>
            <w:r w:rsidRPr="00277C57">
              <w:rPr>
                <w:rFonts w:ascii="Arial" w:hAnsi="Arial" w:cs="Arial"/>
                <w:b/>
                <w:bCs/>
                <w:sz w:val="20"/>
                <w:szCs w:val="20"/>
              </w:rPr>
              <w:t>Dr Zubaile bin Abdullah</w:t>
            </w:r>
          </w:p>
          <w:p w14:paraId="127988CD" w14:textId="4765F11E" w:rsidR="00482C2D" w:rsidRPr="0075434E" w:rsidRDefault="00277C57" w:rsidP="00A51969">
            <w:pPr>
              <w:jc w:val="center"/>
              <w:rPr>
                <w:rFonts w:ascii="Arial" w:hAnsi="Arial" w:cs="Arial"/>
                <w:sz w:val="20"/>
                <w:szCs w:val="20"/>
              </w:rPr>
            </w:pPr>
            <w:r w:rsidRPr="00277C57">
              <w:rPr>
                <w:rFonts w:ascii="Arial" w:hAnsi="Arial" w:cs="Arial"/>
                <w:sz w:val="20"/>
                <w:szCs w:val="20"/>
              </w:rPr>
              <w:t>Researcher, Centre for Cybersecurity and Data Intelligence (CCDI), Faculty of Computer Science &amp; Information Technology, Universiti Tun Hussein Onn Malaysia</w:t>
            </w:r>
          </w:p>
        </w:tc>
      </w:tr>
    </w:tbl>
    <w:p w14:paraId="5A064F0D" w14:textId="77777777" w:rsidR="006315AF" w:rsidRDefault="006315AF" w:rsidP="00A51969">
      <w:pPr>
        <w:spacing w:after="0" w:line="240" w:lineRule="auto"/>
        <w:jc w:val="center"/>
        <w:rPr>
          <w:rFonts w:ascii="Arial" w:hAnsi="Arial" w:cs="Arial"/>
          <w:b/>
          <w:bCs/>
          <w:sz w:val="20"/>
          <w:szCs w:val="20"/>
          <w:lang w:val="en-US"/>
        </w:rPr>
      </w:pPr>
    </w:p>
    <w:p w14:paraId="1CCC9E27" w14:textId="0D563ED9" w:rsidR="0009073A" w:rsidRPr="00AE1338" w:rsidRDefault="0009073A" w:rsidP="00A51969">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jc w:val="center"/>
        <w:rPr>
          <w:rFonts w:ascii="Arial" w:hAnsi="Arial" w:cs="Arial"/>
          <w:b/>
          <w:bCs/>
          <w:sz w:val="20"/>
          <w:szCs w:val="20"/>
          <w:lang w:val="en-US"/>
        </w:rPr>
      </w:pPr>
      <w:r>
        <w:rPr>
          <w:rFonts w:ascii="Arial" w:hAnsi="Arial" w:cs="Arial"/>
          <w:b/>
          <w:bCs/>
          <w:sz w:val="20"/>
          <w:szCs w:val="20"/>
          <w:lang w:val="en-US"/>
        </w:rPr>
        <w:t xml:space="preserve">SPRINGER </w:t>
      </w:r>
      <w:r w:rsidR="00EE4078">
        <w:rPr>
          <w:rFonts w:ascii="Arial" w:hAnsi="Arial" w:cs="Arial"/>
          <w:b/>
          <w:bCs/>
          <w:sz w:val="20"/>
          <w:szCs w:val="20"/>
          <w:lang w:val="en-US"/>
        </w:rPr>
        <w:t xml:space="preserve">PUBLICATION </w:t>
      </w:r>
      <w:r>
        <w:rPr>
          <w:rFonts w:ascii="Arial" w:hAnsi="Arial" w:cs="Arial"/>
          <w:b/>
          <w:bCs/>
          <w:sz w:val="20"/>
          <w:szCs w:val="20"/>
          <w:lang w:val="en-US"/>
        </w:rPr>
        <w:t>ROADMAP</w:t>
      </w:r>
    </w:p>
    <w:p w14:paraId="2D0E7352" w14:textId="77777777" w:rsidR="0009073A" w:rsidRDefault="0009073A" w:rsidP="00A51969">
      <w:pPr>
        <w:spacing w:after="0" w:line="240" w:lineRule="auto"/>
        <w:jc w:val="center"/>
        <w:rPr>
          <w:rFonts w:ascii="Arial" w:hAnsi="Arial" w:cs="Arial"/>
          <w:b/>
          <w:bCs/>
          <w:sz w:val="20"/>
          <w:szCs w:val="20"/>
          <w:lang w:val="en-US"/>
        </w:rPr>
      </w:pPr>
    </w:p>
    <w:p w14:paraId="03CC95CA" w14:textId="4441B10A" w:rsidR="0009073A" w:rsidRDefault="0009073A" w:rsidP="00A51969">
      <w:pPr>
        <w:spacing w:after="0" w:line="240" w:lineRule="auto"/>
        <w:jc w:val="center"/>
        <w:rPr>
          <w:rFonts w:ascii="Arial" w:hAnsi="Arial" w:cs="Arial"/>
          <w:b/>
          <w:bCs/>
          <w:sz w:val="20"/>
          <w:szCs w:val="20"/>
          <w:lang w:val="en-US"/>
        </w:rPr>
      </w:pPr>
      <w:r>
        <w:rPr>
          <w:rFonts w:ascii="Arial" w:hAnsi="Arial" w:cs="Arial"/>
          <w:b/>
          <w:bCs/>
          <w:noProof/>
          <w:sz w:val="20"/>
          <w:szCs w:val="20"/>
          <w:lang w:val="en-US"/>
        </w:rPr>
        <w:drawing>
          <wp:inline distT="0" distB="0" distL="0" distR="0" wp14:anchorId="2731AAF8" wp14:editId="26B2613E">
            <wp:extent cx="6188710" cy="3449955"/>
            <wp:effectExtent l="0" t="0" r="0" b="4445"/>
            <wp:docPr id="1163881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81547" name="Picture 1163881547"/>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88710" cy="3449955"/>
                    </a:xfrm>
                    <a:prstGeom prst="rect">
                      <a:avLst/>
                    </a:prstGeom>
                  </pic:spPr>
                </pic:pic>
              </a:graphicData>
            </a:graphic>
          </wp:inline>
        </w:drawing>
      </w:r>
    </w:p>
    <w:p w14:paraId="606BA603" w14:textId="77777777" w:rsidR="0009073A" w:rsidRPr="00AE1338" w:rsidRDefault="0009073A" w:rsidP="00A51969">
      <w:pPr>
        <w:spacing w:after="0" w:line="240" w:lineRule="auto"/>
        <w:jc w:val="center"/>
        <w:rPr>
          <w:rFonts w:ascii="Arial" w:hAnsi="Arial" w:cs="Arial"/>
          <w:b/>
          <w:bCs/>
          <w:sz w:val="20"/>
          <w:szCs w:val="20"/>
          <w:lang w:val="en-US"/>
        </w:rPr>
      </w:pPr>
    </w:p>
    <w:p w14:paraId="5BFA48C1" w14:textId="77777777" w:rsidR="00886833" w:rsidRDefault="00886833" w:rsidP="00A51969">
      <w:pPr>
        <w:spacing w:after="0" w:line="240" w:lineRule="auto"/>
        <w:rPr>
          <w:rFonts w:ascii="Arial" w:hAnsi="Arial" w:cs="Arial"/>
          <w:b/>
          <w:bCs/>
          <w:sz w:val="20"/>
          <w:szCs w:val="20"/>
          <w:lang w:val="en-US"/>
        </w:rPr>
      </w:pPr>
      <w:r>
        <w:rPr>
          <w:rFonts w:ascii="Arial" w:hAnsi="Arial" w:cs="Arial"/>
          <w:b/>
          <w:bCs/>
          <w:sz w:val="20"/>
          <w:szCs w:val="20"/>
          <w:lang w:val="en-US"/>
        </w:rPr>
        <w:br w:type="page"/>
      </w:r>
    </w:p>
    <w:p w14:paraId="11B66C23" w14:textId="49B5BC01" w:rsidR="004D4907" w:rsidRPr="00AE1338" w:rsidRDefault="004D4907" w:rsidP="00A51969">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jc w:val="center"/>
        <w:rPr>
          <w:rFonts w:ascii="Arial" w:hAnsi="Arial" w:cs="Arial"/>
          <w:b/>
          <w:bCs/>
          <w:sz w:val="20"/>
          <w:szCs w:val="20"/>
          <w:lang w:val="en-US"/>
        </w:rPr>
      </w:pPr>
      <w:r w:rsidRPr="00AE1338">
        <w:rPr>
          <w:rFonts w:ascii="Arial" w:hAnsi="Arial" w:cs="Arial"/>
          <w:b/>
          <w:bCs/>
          <w:sz w:val="20"/>
          <w:szCs w:val="20"/>
          <w:lang w:val="en-US"/>
        </w:rPr>
        <w:lastRenderedPageBreak/>
        <w:t>RUNDOWN</w:t>
      </w:r>
    </w:p>
    <w:p w14:paraId="5816AC15" w14:textId="77777777" w:rsidR="004D4907" w:rsidRPr="00AE1338" w:rsidRDefault="004D4907" w:rsidP="00A51969">
      <w:pPr>
        <w:spacing w:after="0" w:line="240" w:lineRule="auto"/>
        <w:jc w:val="center"/>
        <w:rPr>
          <w:rFonts w:ascii="Arial" w:hAnsi="Arial" w:cs="Arial"/>
          <w:b/>
          <w:bCs/>
          <w:sz w:val="20"/>
          <w:szCs w:val="20"/>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4"/>
        <w:gridCol w:w="3244"/>
        <w:gridCol w:w="3248"/>
      </w:tblGrid>
      <w:tr w:rsidR="00655202" w:rsidRPr="00AE1338" w14:paraId="6D8A1E4F" w14:textId="77777777" w:rsidTr="00655202">
        <w:trPr>
          <w:jc w:val="center"/>
        </w:trPr>
        <w:tc>
          <w:tcPr>
            <w:tcW w:w="5000" w:type="pct"/>
            <w:gridSpan w:val="3"/>
            <w:vAlign w:val="center"/>
          </w:tcPr>
          <w:p w14:paraId="0397B1BC" w14:textId="63C4BAC1" w:rsidR="00655202" w:rsidRPr="00AE1338" w:rsidRDefault="00BE2951" w:rsidP="00A51969">
            <w:pPr>
              <w:spacing w:after="0" w:line="240" w:lineRule="auto"/>
              <w:jc w:val="center"/>
              <w:rPr>
                <w:rFonts w:ascii="Arial" w:hAnsi="Arial" w:cs="Arial"/>
                <w:b/>
                <w:bCs/>
                <w:sz w:val="20"/>
                <w:szCs w:val="20"/>
                <w:lang w:val="en-US"/>
              </w:rPr>
            </w:pPr>
            <w:r>
              <w:rPr>
                <w:rFonts w:ascii="Arial" w:hAnsi="Arial" w:cs="Arial"/>
                <w:b/>
                <w:bCs/>
                <w:sz w:val="20"/>
                <w:szCs w:val="20"/>
                <w:lang w:val="en-US"/>
              </w:rPr>
              <w:t>19</w:t>
            </w:r>
            <w:r w:rsidR="00655202" w:rsidRPr="00AE1338">
              <w:rPr>
                <w:rFonts w:ascii="Arial" w:hAnsi="Arial" w:cs="Arial"/>
                <w:b/>
                <w:bCs/>
                <w:sz w:val="20"/>
                <w:szCs w:val="20"/>
                <w:vertAlign w:val="superscript"/>
                <w:lang w:val="en-US"/>
              </w:rPr>
              <w:t>th</w:t>
            </w:r>
            <w:r w:rsidR="00655202" w:rsidRPr="00AE1338">
              <w:rPr>
                <w:rFonts w:ascii="Arial" w:hAnsi="Arial" w:cs="Arial"/>
                <w:b/>
                <w:bCs/>
                <w:sz w:val="20"/>
                <w:szCs w:val="20"/>
                <w:lang w:val="en-US"/>
              </w:rPr>
              <w:t xml:space="preserve"> August 202</w:t>
            </w:r>
            <w:r>
              <w:rPr>
                <w:rFonts w:ascii="Arial" w:hAnsi="Arial" w:cs="Arial"/>
                <w:b/>
                <w:bCs/>
                <w:sz w:val="20"/>
                <w:szCs w:val="20"/>
                <w:lang w:val="en-US"/>
              </w:rPr>
              <w:t>6</w:t>
            </w:r>
          </w:p>
        </w:tc>
      </w:tr>
      <w:tr w:rsidR="00655202" w:rsidRPr="00AE1338" w14:paraId="49167A7F" w14:textId="77777777" w:rsidTr="006E7C56">
        <w:trPr>
          <w:jc w:val="center"/>
        </w:trPr>
        <w:tc>
          <w:tcPr>
            <w:tcW w:w="1666" w:type="pct"/>
            <w:vAlign w:val="center"/>
          </w:tcPr>
          <w:p w14:paraId="77C1A4D0" w14:textId="3BEA1331" w:rsidR="00655202" w:rsidRPr="00AE1338" w:rsidRDefault="00655202" w:rsidP="00A51969">
            <w:pPr>
              <w:spacing w:after="0" w:line="240" w:lineRule="auto"/>
              <w:jc w:val="center"/>
              <w:rPr>
                <w:rFonts w:ascii="Arial" w:hAnsi="Arial" w:cs="Arial"/>
                <w:b/>
                <w:bCs/>
                <w:sz w:val="20"/>
                <w:szCs w:val="20"/>
                <w:lang w:val="en-US"/>
              </w:rPr>
            </w:pPr>
            <w:r w:rsidRPr="00AE1338">
              <w:rPr>
                <w:rFonts w:ascii="Arial" w:hAnsi="Arial" w:cs="Arial"/>
                <w:b/>
                <w:bCs/>
                <w:sz w:val="20"/>
                <w:szCs w:val="20"/>
                <w:lang w:val="en-US"/>
              </w:rPr>
              <w:t xml:space="preserve">Time </w:t>
            </w:r>
            <w:r w:rsidR="00DC1D29">
              <w:rPr>
                <w:rFonts w:ascii="Arial" w:hAnsi="Arial" w:cs="Arial"/>
                <w:b/>
                <w:bCs/>
                <w:sz w:val="20"/>
                <w:szCs w:val="20"/>
                <w:lang w:val="en-US"/>
              </w:rPr>
              <w:t>(</w:t>
            </w:r>
            <w:r w:rsidR="00E549C6">
              <w:rPr>
                <w:rFonts w:ascii="Arial" w:hAnsi="Arial" w:cs="Arial"/>
                <w:b/>
                <w:bCs/>
                <w:sz w:val="20"/>
                <w:szCs w:val="20"/>
                <w:lang w:val="en-US"/>
              </w:rPr>
              <w:t>Istanbul Turkiye</w:t>
            </w:r>
            <w:r w:rsidR="00DC1D29">
              <w:rPr>
                <w:rFonts w:ascii="Arial" w:hAnsi="Arial" w:cs="Arial"/>
                <w:b/>
                <w:bCs/>
                <w:sz w:val="20"/>
                <w:szCs w:val="20"/>
                <w:lang w:val="en-US"/>
              </w:rPr>
              <w:t>)</w:t>
            </w:r>
          </w:p>
        </w:tc>
        <w:tc>
          <w:tcPr>
            <w:tcW w:w="1666" w:type="pct"/>
            <w:vAlign w:val="center"/>
          </w:tcPr>
          <w:p w14:paraId="5ADCBDE4" w14:textId="77777777" w:rsidR="00655202" w:rsidRPr="00AE1338" w:rsidRDefault="00655202" w:rsidP="00A51969">
            <w:pPr>
              <w:spacing w:after="0" w:line="240" w:lineRule="auto"/>
              <w:jc w:val="center"/>
              <w:rPr>
                <w:rFonts w:ascii="Arial" w:hAnsi="Arial" w:cs="Arial"/>
                <w:b/>
                <w:bCs/>
                <w:sz w:val="20"/>
                <w:szCs w:val="20"/>
                <w:lang w:val="en-US"/>
              </w:rPr>
            </w:pPr>
            <w:r w:rsidRPr="00AE1338">
              <w:rPr>
                <w:rFonts w:ascii="Arial" w:hAnsi="Arial" w:cs="Arial"/>
                <w:b/>
                <w:bCs/>
                <w:sz w:val="20"/>
                <w:szCs w:val="20"/>
                <w:lang w:val="en-US"/>
              </w:rPr>
              <w:t>Activity</w:t>
            </w:r>
          </w:p>
        </w:tc>
        <w:tc>
          <w:tcPr>
            <w:tcW w:w="1668" w:type="pct"/>
            <w:vAlign w:val="center"/>
          </w:tcPr>
          <w:p w14:paraId="616DB71B" w14:textId="77777777" w:rsidR="00655202" w:rsidRPr="00AE1338" w:rsidRDefault="00655202" w:rsidP="00A51969">
            <w:pPr>
              <w:spacing w:after="0" w:line="240" w:lineRule="auto"/>
              <w:jc w:val="center"/>
              <w:rPr>
                <w:rFonts w:ascii="Arial" w:hAnsi="Arial" w:cs="Arial"/>
                <w:b/>
                <w:bCs/>
                <w:sz w:val="20"/>
                <w:szCs w:val="20"/>
                <w:lang w:val="en-US"/>
              </w:rPr>
            </w:pPr>
            <w:r w:rsidRPr="00AE1338">
              <w:rPr>
                <w:rFonts w:ascii="Arial" w:hAnsi="Arial" w:cs="Arial"/>
                <w:b/>
                <w:bCs/>
                <w:sz w:val="20"/>
                <w:szCs w:val="20"/>
                <w:lang w:val="en-US"/>
              </w:rPr>
              <w:t>Venue</w:t>
            </w:r>
          </w:p>
        </w:tc>
      </w:tr>
      <w:tr w:rsidR="00655202" w:rsidRPr="00AE1338" w14:paraId="1F768ED1" w14:textId="77777777" w:rsidTr="006E7C56">
        <w:trPr>
          <w:jc w:val="center"/>
        </w:trPr>
        <w:tc>
          <w:tcPr>
            <w:tcW w:w="1666" w:type="pct"/>
            <w:vAlign w:val="center"/>
          </w:tcPr>
          <w:p w14:paraId="4CA9C4ED" w14:textId="7498AA7E" w:rsidR="00655202" w:rsidRPr="00AE1338" w:rsidRDefault="003D3AC6" w:rsidP="00A51969">
            <w:pPr>
              <w:spacing w:after="0" w:line="240" w:lineRule="auto"/>
              <w:jc w:val="center"/>
              <w:rPr>
                <w:rFonts w:ascii="Arial" w:hAnsi="Arial" w:cs="Arial"/>
                <w:b/>
                <w:bCs/>
                <w:sz w:val="20"/>
                <w:szCs w:val="20"/>
                <w:lang w:val="en-US"/>
              </w:rPr>
            </w:pPr>
            <w:r w:rsidRPr="00AE1338">
              <w:rPr>
                <w:rFonts w:ascii="Arial" w:hAnsi="Arial" w:cs="Arial"/>
                <w:b/>
                <w:bCs/>
                <w:sz w:val="20"/>
                <w:szCs w:val="20"/>
                <w:lang w:val="en-US"/>
              </w:rPr>
              <w:t>09:00 – 12:00</w:t>
            </w:r>
          </w:p>
        </w:tc>
        <w:tc>
          <w:tcPr>
            <w:tcW w:w="1666" w:type="pct"/>
            <w:vAlign w:val="center"/>
          </w:tcPr>
          <w:p w14:paraId="1078B75E" w14:textId="2C1BAA28" w:rsidR="00EE4074" w:rsidRDefault="00EE4074" w:rsidP="00A51969">
            <w:pPr>
              <w:spacing w:after="0" w:line="240" w:lineRule="auto"/>
              <w:jc w:val="center"/>
              <w:rPr>
                <w:rFonts w:ascii="Arial" w:hAnsi="Arial" w:cs="Arial"/>
                <w:b/>
                <w:bCs/>
                <w:sz w:val="20"/>
                <w:szCs w:val="20"/>
                <w:lang w:val="en-US"/>
              </w:rPr>
            </w:pPr>
            <w:r>
              <w:rPr>
                <w:rFonts w:ascii="Arial" w:hAnsi="Arial" w:cs="Arial"/>
                <w:b/>
                <w:bCs/>
                <w:sz w:val="20"/>
                <w:szCs w:val="20"/>
                <w:lang w:val="en-US"/>
              </w:rPr>
              <w:t>Opening &amp;</w:t>
            </w:r>
          </w:p>
          <w:p w14:paraId="0387EAA1" w14:textId="67C1CA3F" w:rsidR="008E2D9F" w:rsidRDefault="003D3AC6" w:rsidP="00A51969">
            <w:pPr>
              <w:spacing w:after="0" w:line="240" w:lineRule="auto"/>
              <w:jc w:val="center"/>
              <w:rPr>
                <w:rFonts w:ascii="Arial" w:hAnsi="Arial" w:cs="Arial"/>
                <w:b/>
                <w:bCs/>
                <w:sz w:val="20"/>
                <w:szCs w:val="20"/>
                <w:lang w:val="en-US"/>
              </w:rPr>
            </w:pPr>
            <w:r w:rsidRPr="00AE1338">
              <w:rPr>
                <w:rFonts w:ascii="Arial" w:hAnsi="Arial" w:cs="Arial"/>
                <w:b/>
                <w:bCs/>
                <w:sz w:val="20"/>
                <w:szCs w:val="20"/>
                <w:lang w:val="en-US"/>
              </w:rPr>
              <w:t>Keynote Speaker Session</w:t>
            </w:r>
          </w:p>
          <w:p w14:paraId="10571F4D" w14:textId="4AB338B8" w:rsidR="00EE5E08" w:rsidRDefault="00EE5E08" w:rsidP="00A51969">
            <w:pPr>
              <w:spacing w:after="0" w:line="240" w:lineRule="auto"/>
              <w:jc w:val="center"/>
              <w:rPr>
                <w:rFonts w:ascii="Arial" w:hAnsi="Arial" w:cs="Arial"/>
                <w:b/>
                <w:bCs/>
                <w:sz w:val="20"/>
                <w:szCs w:val="20"/>
                <w:lang w:val="en-US"/>
              </w:rPr>
            </w:pPr>
            <w:r>
              <w:rPr>
                <w:rFonts w:ascii="Arial" w:hAnsi="Arial" w:cs="Arial"/>
                <w:b/>
                <w:bCs/>
                <w:sz w:val="20"/>
                <w:szCs w:val="20"/>
                <w:lang w:val="en-US"/>
              </w:rPr>
              <w:t>Moderator:</w:t>
            </w:r>
          </w:p>
          <w:p w14:paraId="29A28711" w14:textId="1085BBBE" w:rsidR="00EE5E08" w:rsidRDefault="00AC3D61" w:rsidP="004F73D3">
            <w:pPr>
              <w:pStyle w:val="ListParagraph"/>
              <w:numPr>
                <w:ilvl w:val="0"/>
                <w:numId w:val="6"/>
              </w:numPr>
              <w:spacing w:after="0" w:line="240" w:lineRule="auto"/>
              <w:rPr>
                <w:rFonts w:ascii="Arial" w:hAnsi="Arial" w:cs="Arial"/>
                <w:b/>
                <w:bCs/>
                <w:sz w:val="20"/>
                <w:szCs w:val="20"/>
                <w:lang w:val="en-US"/>
              </w:rPr>
            </w:pPr>
            <w:r w:rsidRPr="00AC3D61">
              <w:rPr>
                <w:rFonts w:ascii="Arial" w:hAnsi="Arial" w:cs="Arial"/>
                <w:b/>
                <w:bCs/>
                <w:sz w:val="20"/>
                <w:szCs w:val="20"/>
                <w:lang w:val="en-US"/>
              </w:rPr>
              <w:t>Prof. Anton Abdulbasah KAMIL</w:t>
            </w:r>
          </w:p>
          <w:p w14:paraId="27F49456" w14:textId="65A32000" w:rsidR="00A5195C" w:rsidRPr="00183428" w:rsidRDefault="004F73D3" w:rsidP="00183428">
            <w:pPr>
              <w:pStyle w:val="ListParagraph"/>
              <w:numPr>
                <w:ilvl w:val="0"/>
                <w:numId w:val="6"/>
              </w:numPr>
              <w:spacing w:after="0" w:line="240" w:lineRule="auto"/>
              <w:rPr>
                <w:rFonts w:ascii="Arial" w:hAnsi="Arial" w:cs="Arial"/>
                <w:b/>
                <w:bCs/>
                <w:sz w:val="20"/>
                <w:szCs w:val="20"/>
                <w:lang w:val="en-US"/>
              </w:rPr>
            </w:pPr>
            <w:r w:rsidRPr="004F73D3">
              <w:rPr>
                <w:rFonts w:ascii="Arial" w:hAnsi="Arial" w:cs="Arial"/>
                <w:b/>
                <w:bCs/>
                <w:sz w:val="20"/>
                <w:szCs w:val="20"/>
                <w:lang w:val="en-US"/>
              </w:rPr>
              <w:t xml:space="preserve">Professor </w:t>
            </w:r>
            <w:r w:rsidRPr="004F73D3">
              <w:rPr>
                <w:rFonts w:ascii="Segoe UI Symbol" w:hAnsi="Segoe UI Symbol" w:cs="Segoe UI Symbol"/>
                <w:b/>
                <w:bCs/>
                <w:sz w:val="20"/>
                <w:szCs w:val="20"/>
                <w:lang w:val="en-US"/>
              </w:rPr>
              <w:t>⁠</w:t>
            </w:r>
            <w:r w:rsidRPr="004F73D3">
              <w:rPr>
                <w:rFonts w:ascii="Arial" w:hAnsi="Arial" w:cs="Arial"/>
                <w:b/>
                <w:bCs/>
                <w:sz w:val="20"/>
                <w:szCs w:val="20"/>
                <w:lang w:val="en-US"/>
              </w:rPr>
              <w:t xml:space="preserve">Riswan Septriayadi Sianturi, S.Si., M.M., M.Sc., </w:t>
            </w:r>
            <w:proofErr w:type="gramStart"/>
            <w:r w:rsidRPr="004F73D3">
              <w:rPr>
                <w:rFonts w:ascii="Arial" w:hAnsi="Arial" w:cs="Arial"/>
                <w:b/>
                <w:bCs/>
                <w:sz w:val="20"/>
                <w:szCs w:val="20"/>
                <w:lang w:val="en-US"/>
              </w:rPr>
              <w:t>Ph.D</w:t>
            </w:r>
            <w:proofErr w:type="gramEnd"/>
          </w:p>
        </w:tc>
        <w:tc>
          <w:tcPr>
            <w:tcW w:w="1668" w:type="pct"/>
            <w:vAlign w:val="center"/>
          </w:tcPr>
          <w:p w14:paraId="6CEB71B8" w14:textId="72745167" w:rsidR="00C6415C" w:rsidRPr="00AE1338" w:rsidRDefault="00C6415C" w:rsidP="00A51969">
            <w:pPr>
              <w:spacing w:after="0" w:line="240" w:lineRule="auto"/>
              <w:jc w:val="center"/>
              <w:rPr>
                <w:rFonts w:ascii="Arial" w:hAnsi="Arial" w:cs="Arial"/>
                <w:b/>
                <w:bCs/>
                <w:sz w:val="20"/>
                <w:szCs w:val="20"/>
                <w:lang w:val="en-US"/>
              </w:rPr>
            </w:pPr>
            <w:r>
              <w:rPr>
                <w:rFonts w:ascii="Arial" w:hAnsi="Arial" w:cs="Arial"/>
                <w:b/>
                <w:bCs/>
                <w:sz w:val="20"/>
                <w:szCs w:val="20"/>
                <w:lang w:val="en-US"/>
              </w:rPr>
              <w:t xml:space="preserve">Hybrid </w:t>
            </w:r>
            <w:r w:rsidRPr="00C6415C">
              <w:rPr>
                <w:rFonts w:ascii="Arial" w:hAnsi="Arial" w:cs="Arial"/>
                <w:b/>
                <w:bCs/>
                <w:sz w:val="20"/>
                <w:szCs w:val="20"/>
                <w:lang w:val="en-US"/>
              </w:rPr>
              <w:t>(Conference Hall, Istanbul Gelisim University, Türkiye</w:t>
            </w:r>
            <w:r>
              <w:rPr>
                <w:rFonts w:ascii="Arial" w:hAnsi="Arial" w:cs="Arial"/>
                <w:b/>
                <w:bCs/>
                <w:sz w:val="20"/>
                <w:szCs w:val="20"/>
                <w:lang w:val="en-US"/>
              </w:rPr>
              <w:t xml:space="preserve"> &amp; Online)</w:t>
            </w:r>
          </w:p>
        </w:tc>
      </w:tr>
      <w:tr w:rsidR="00655202" w:rsidRPr="00AE1338" w14:paraId="070E663C" w14:textId="77777777" w:rsidTr="006E7C56">
        <w:trPr>
          <w:jc w:val="center"/>
        </w:trPr>
        <w:tc>
          <w:tcPr>
            <w:tcW w:w="1666" w:type="pct"/>
            <w:vAlign w:val="center"/>
          </w:tcPr>
          <w:p w14:paraId="40DC9DD4" w14:textId="4B6A8AE8" w:rsidR="00655202" w:rsidRPr="00AE1338" w:rsidRDefault="003D3AC6" w:rsidP="00A51969">
            <w:pPr>
              <w:spacing w:after="0" w:line="240" w:lineRule="auto"/>
              <w:jc w:val="center"/>
              <w:rPr>
                <w:rFonts w:ascii="Arial" w:hAnsi="Arial" w:cs="Arial"/>
                <w:b/>
                <w:bCs/>
                <w:sz w:val="20"/>
                <w:szCs w:val="20"/>
                <w:lang w:val="en-US"/>
              </w:rPr>
            </w:pPr>
            <w:r w:rsidRPr="00AE1338">
              <w:rPr>
                <w:rFonts w:ascii="Arial" w:hAnsi="Arial" w:cs="Arial"/>
                <w:b/>
                <w:bCs/>
                <w:sz w:val="20"/>
                <w:szCs w:val="20"/>
                <w:lang w:val="en-US"/>
              </w:rPr>
              <w:t>12:00 – 13:</w:t>
            </w:r>
            <w:r w:rsidR="00E55633">
              <w:rPr>
                <w:rFonts w:ascii="Arial" w:hAnsi="Arial" w:cs="Arial"/>
                <w:b/>
                <w:bCs/>
                <w:sz w:val="20"/>
                <w:szCs w:val="20"/>
                <w:lang w:val="en-US"/>
              </w:rPr>
              <w:t>3</w:t>
            </w:r>
            <w:r w:rsidRPr="00AE1338">
              <w:rPr>
                <w:rFonts w:ascii="Arial" w:hAnsi="Arial" w:cs="Arial"/>
                <w:b/>
                <w:bCs/>
                <w:sz w:val="20"/>
                <w:szCs w:val="20"/>
                <w:lang w:val="en-US"/>
              </w:rPr>
              <w:t>0</w:t>
            </w:r>
          </w:p>
        </w:tc>
        <w:tc>
          <w:tcPr>
            <w:tcW w:w="1666" w:type="pct"/>
            <w:vAlign w:val="center"/>
          </w:tcPr>
          <w:p w14:paraId="6A9FAB00" w14:textId="66B060F8" w:rsidR="00655202" w:rsidRPr="00AE1338" w:rsidRDefault="003D3AC6" w:rsidP="00A51969">
            <w:pPr>
              <w:spacing w:after="0" w:line="240" w:lineRule="auto"/>
              <w:jc w:val="center"/>
              <w:rPr>
                <w:rFonts w:ascii="Arial" w:hAnsi="Arial" w:cs="Arial"/>
                <w:b/>
                <w:bCs/>
                <w:sz w:val="20"/>
                <w:szCs w:val="20"/>
                <w:lang w:val="en-US"/>
              </w:rPr>
            </w:pPr>
            <w:r w:rsidRPr="00AE1338">
              <w:rPr>
                <w:rFonts w:ascii="Arial" w:hAnsi="Arial" w:cs="Arial"/>
                <w:b/>
                <w:bCs/>
                <w:sz w:val="20"/>
                <w:szCs w:val="20"/>
                <w:lang w:val="en-US"/>
              </w:rPr>
              <w:t>Lunch Time</w:t>
            </w:r>
          </w:p>
        </w:tc>
        <w:tc>
          <w:tcPr>
            <w:tcW w:w="1668" w:type="pct"/>
            <w:vAlign w:val="center"/>
          </w:tcPr>
          <w:p w14:paraId="0A7008CD" w14:textId="16B89853" w:rsidR="00655202" w:rsidRPr="00AE1338" w:rsidRDefault="00655202" w:rsidP="00A51969">
            <w:pPr>
              <w:spacing w:after="0" w:line="240" w:lineRule="auto"/>
              <w:jc w:val="center"/>
              <w:rPr>
                <w:rFonts w:ascii="Arial" w:hAnsi="Arial" w:cs="Arial"/>
                <w:b/>
                <w:bCs/>
                <w:sz w:val="20"/>
                <w:szCs w:val="20"/>
                <w:lang w:val="en-US"/>
              </w:rPr>
            </w:pPr>
          </w:p>
        </w:tc>
      </w:tr>
      <w:tr w:rsidR="00B0283C" w:rsidRPr="00AE1338" w14:paraId="298ECA10" w14:textId="77777777" w:rsidTr="006E7C56">
        <w:trPr>
          <w:jc w:val="center"/>
        </w:trPr>
        <w:tc>
          <w:tcPr>
            <w:tcW w:w="1666" w:type="pct"/>
            <w:vAlign w:val="center"/>
          </w:tcPr>
          <w:p w14:paraId="08BD9FB7" w14:textId="607A0105" w:rsidR="00B0283C" w:rsidRPr="00AE1338" w:rsidRDefault="00B0283C" w:rsidP="00A51969">
            <w:pPr>
              <w:spacing w:after="0" w:line="240" w:lineRule="auto"/>
              <w:jc w:val="center"/>
              <w:rPr>
                <w:rFonts w:ascii="Arial" w:hAnsi="Arial" w:cs="Arial"/>
                <w:b/>
                <w:bCs/>
                <w:sz w:val="20"/>
                <w:szCs w:val="20"/>
                <w:lang w:val="en-US"/>
              </w:rPr>
            </w:pPr>
            <w:r w:rsidRPr="00AE1338">
              <w:rPr>
                <w:rFonts w:ascii="Arial" w:hAnsi="Arial" w:cs="Arial"/>
                <w:b/>
                <w:bCs/>
                <w:sz w:val="20"/>
                <w:szCs w:val="20"/>
                <w:lang w:val="en-US"/>
              </w:rPr>
              <w:t>1</w:t>
            </w:r>
            <w:r w:rsidR="00E55633">
              <w:rPr>
                <w:rFonts w:ascii="Arial" w:hAnsi="Arial" w:cs="Arial"/>
                <w:b/>
                <w:bCs/>
                <w:sz w:val="20"/>
                <w:szCs w:val="20"/>
                <w:lang w:val="en-US"/>
              </w:rPr>
              <w:t>3</w:t>
            </w:r>
            <w:r w:rsidRPr="00AE1338">
              <w:rPr>
                <w:rFonts w:ascii="Arial" w:hAnsi="Arial" w:cs="Arial"/>
                <w:b/>
                <w:bCs/>
                <w:sz w:val="20"/>
                <w:szCs w:val="20"/>
                <w:lang w:val="en-US"/>
              </w:rPr>
              <w:t>:30 – 17:00</w:t>
            </w:r>
          </w:p>
        </w:tc>
        <w:tc>
          <w:tcPr>
            <w:tcW w:w="1666" w:type="pct"/>
            <w:vAlign w:val="center"/>
          </w:tcPr>
          <w:p w14:paraId="6DA4F7A2" w14:textId="72A4E268" w:rsidR="00B0283C" w:rsidRPr="00AE1338" w:rsidRDefault="00B532B4" w:rsidP="00A51969">
            <w:pPr>
              <w:spacing w:after="0" w:line="240" w:lineRule="auto"/>
              <w:jc w:val="center"/>
              <w:rPr>
                <w:rFonts w:ascii="Arial" w:hAnsi="Arial" w:cs="Arial"/>
                <w:b/>
                <w:bCs/>
                <w:sz w:val="20"/>
                <w:szCs w:val="20"/>
                <w:lang w:val="en-US"/>
              </w:rPr>
            </w:pPr>
            <w:r>
              <w:rPr>
                <w:rFonts w:ascii="Arial" w:hAnsi="Arial" w:cs="Arial"/>
                <w:b/>
                <w:bCs/>
                <w:sz w:val="20"/>
                <w:szCs w:val="20"/>
                <w:lang w:val="en-US"/>
              </w:rPr>
              <w:t xml:space="preserve">Onsite </w:t>
            </w:r>
            <w:r w:rsidR="00FF3DE8" w:rsidRPr="00AE1338">
              <w:rPr>
                <w:rFonts w:ascii="Arial" w:hAnsi="Arial" w:cs="Arial"/>
                <w:b/>
                <w:bCs/>
                <w:sz w:val="20"/>
                <w:szCs w:val="20"/>
                <w:lang w:val="en-US"/>
              </w:rPr>
              <w:t>Parallel</w:t>
            </w:r>
            <w:r w:rsidR="00F5175A" w:rsidRPr="00AE1338">
              <w:rPr>
                <w:rFonts w:ascii="Arial" w:hAnsi="Arial" w:cs="Arial"/>
                <w:b/>
                <w:bCs/>
                <w:sz w:val="20"/>
                <w:szCs w:val="20"/>
                <w:lang w:val="en-US"/>
              </w:rPr>
              <w:t xml:space="preserve"> Session</w:t>
            </w:r>
          </w:p>
        </w:tc>
        <w:tc>
          <w:tcPr>
            <w:tcW w:w="1668" w:type="pct"/>
            <w:vAlign w:val="center"/>
          </w:tcPr>
          <w:p w14:paraId="6CBCFEFB" w14:textId="2274A5A1" w:rsidR="00B0283C" w:rsidRPr="00AE1338" w:rsidRDefault="003B25D6" w:rsidP="00A51969">
            <w:pPr>
              <w:spacing w:after="0" w:line="240" w:lineRule="auto"/>
              <w:jc w:val="center"/>
              <w:rPr>
                <w:rFonts w:ascii="Arial" w:hAnsi="Arial" w:cs="Arial"/>
                <w:b/>
                <w:bCs/>
                <w:sz w:val="20"/>
                <w:szCs w:val="20"/>
                <w:lang w:val="en-US"/>
              </w:rPr>
            </w:pPr>
            <w:r w:rsidRPr="00C6415C">
              <w:rPr>
                <w:rFonts w:ascii="Arial" w:hAnsi="Arial" w:cs="Arial"/>
                <w:b/>
                <w:bCs/>
                <w:sz w:val="20"/>
                <w:szCs w:val="20"/>
                <w:lang w:val="en-US"/>
              </w:rPr>
              <w:t>Conference Hall, Istanbul Gelisim University, Türkiye</w:t>
            </w:r>
          </w:p>
        </w:tc>
      </w:tr>
    </w:tbl>
    <w:p w14:paraId="4DCCF747" w14:textId="77777777" w:rsidR="00F540BD" w:rsidRPr="00AE1338" w:rsidRDefault="00F540BD" w:rsidP="00A51969">
      <w:pPr>
        <w:spacing w:after="0" w:line="240" w:lineRule="auto"/>
        <w:rPr>
          <w:rFonts w:ascii="Arial" w:hAnsi="Arial" w:cs="Arial"/>
          <w:b/>
          <w:bCs/>
          <w:sz w:val="20"/>
          <w:szCs w:val="20"/>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4"/>
        <w:gridCol w:w="3244"/>
        <w:gridCol w:w="3248"/>
      </w:tblGrid>
      <w:tr w:rsidR="00655202" w:rsidRPr="00AE1338" w14:paraId="38A13ABD" w14:textId="77777777" w:rsidTr="00E45A42">
        <w:trPr>
          <w:jc w:val="center"/>
        </w:trPr>
        <w:tc>
          <w:tcPr>
            <w:tcW w:w="5000" w:type="pct"/>
            <w:gridSpan w:val="3"/>
            <w:vAlign w:val="center"/>
          </w:tcPr>
          <w:p w14:paraId="350FC264" w14:textId="5E14DCBF" w:rsidR="00655202" w:rsidRPr="00AE1338" w:rsidRDefault="002217EE" w:rsidP="00A51969">
            <w:pPr>
              <w:spacing w:after="0" w:line="240" w:lineRule="auto"/>
              <w:jc w:val="center"/>
              <w:rPr>
                <w:rFonts w:ascii="Arial" w:hAnsi="Arial" w:cs="Arial"/>
                <w:b/>
                <w:bCs/>
                <w:sz w:val="20"/>
                <w:szCs w:val="20"/>
                <w:lang w:val="en-US"/>
              </w:rPr>
            </w:pPr>
            <w:r>
              <w:rPr>
                <w:rFonts w:ascii="Arial" w:hAnsi="Arial" w:cs="Arial"/>
                <w:b/>
                <w:bCs/>
                <w:sz w:val="20"/>
                <w:szCs w:val="20"/>
                <w:lang w:val="en-US"/>
              </w:rPr>
              <w:t>20</w:t>
            </w:r>
            <w:r w:rsidR="00655202" w:rsidRPr="00AE1338">
              <w:rPr>
                <w:rFonts w:ascii="Arial" w:hAnsi="Arial" w:cs="Arial"/>
                <w:b/>
                <w:bCs/>
                <w:sz w:val="20"/>
                <w:szCs w:val="20"/>
                <w:vertAlign w:val="superscript"/>
                <w:lang w:val="en-US"/>
              </w:rPr>
              <w:t>th</w:t>
            </w:r>
            <w:r w:rsidR="00655202" w:rsidRPr="00AE1338">
              <w:rPr>
                <w:rFonts w:ascii="Arial" w:hAnsi="Arial" w:cs="Arial"/>
                <w:b/>
                <w:bCs/>
                <w:sz w:val="20"/>
                <w:szCs w:val="20"/>
                <w:lang w:val="en-US"/>
              </w:rPr>
              <w:t xml:space="preserve"> August 202</w:t>
            </w:r>
            <w:r>
              <w:rPr>
                <w:rFonts w:ascii="Arial" w:hAnsi="Arial" w:cs="Arial"/>
                <w:b/>
                <w:bCs/>
                <w:sz w:val="20"/>
                <w:szCs w:val="20"/>
                <w:lang w:val="en-US"/>
              </w:rPr>
              <w:t>6</w:t>
            </w:r>
          </w:p>
        </w:tc>
      </w:tr>
      <w:tr w:rsidR="00655202" w:rsidRPr="00AE1338" w14:paraId="7E777344" w14:textId="77777777" w:rsidTr="003158FD">
        <w:trPr>
          <w:jc w:val="center"/>
        </w:trPr>
        <w:tc>
          <w:tcPr>
            <w:tcW w:w="1666" w:type="pct"/>
            <w:vAlign w:val="center"/>
          </w:tcPr>
          <w:p w14:paraId="1C573848" w14:textId="2D427890" w:rsidR="00655202" w:rsidRPr="00AE1338" w:rsidRDefault="000614C0" w:rsidP="00A51969">
            <w:pPr>
              <w:spacing w:after="0" w:line="240" w:lineRule="auto"/>
              <w:jc w:val="center"/>
              <w:rPr>
                <w:rFonts w:ascii="Arial" w:hAnsi="Arial" w:cs="Arial"/>
                <w:b/>
                <w:bCs/>
                <w:sz w:val="20"/>
                <w:szCs w:val="20"/>
                <w:lang w:val="en-US"/>
              </w:rPr>
            </w:pPr>
            <w:r>
              <w:rPr>
                <w:rFonts w:ascii="Arial" w:hAnsi="Arial" w:cs="Arial"/>
                <w:b/>
                <w:bCs/>
                <w:sz w:val="20"/>
                <w:szCs w:val="20"/>
                <w:lang w:val="en-US"/>
              </w:rPr>
              <w:t>Time (Istanbul Turkiye)</w:t>
            </w:r>
          </w:p>
        </w:tc>
        <w:tc>
          <w:tcPr>
            <w:tcW w:w="1666" w:type="pct"/>
            <w:vAlign w:val="center"/>
          </w:tcPr>
          <w:p w14:paraId="5916F0E8" w14:textId="77777777" w:rsidR="00655202" w:rsidRPr="00AE1338" w:rsidRDefault="00655202" w:rsidP="00A51969">
            <w:pPr>
              <w:spacing w:after="0" w:line="240" w:lineRule="auto"/>
              <w:jc w:val="center"/>
              <w:rPr>
                <w:rFonts w:ascii="Arial" w:hAnsi="Arial" w:cs="Arial"/>
                <w:b/>
                <w:bCs/>
                <w:sz w:val="20"/>
                <w:szCs w:val="20"/>
                <w:lang w:val="en-US"/>
              </w:rPr>
            </w:pPr>
            <w:r w:rsidRPr="00AE1338">
              <w:rPr>
                <w:rFonts w:ascii="Arial" w:hAnsi="Arial" w:cs="Arial"/>
                <w:b/>
                <w:bCs/>
                <w:sz w:val="20"/>
                <w:szCs w:val="20"/>
                <w:lang w:val="en-US"/>
              </w:rPr>
              <w:t>Activity</w:t>
            </w:r>
          </w:p>
        </w:tc>
        <w:tc>
          <w:tcPr>
            <w:tcW w:w="1668" w:type="pct"/>
            <w:vAlign w:val="center"/>
          </w:tcPr>
          <w:p w14:paraId="6024CA72" w14:textId="77777777" w:rsidR="00655202" w:rsidRPr="00AE1338" w:rsidRDefault="00655202" w:rsidP="00A51969">
            <w:pPr>
              <w:spacing w:after="0" w:line="240" w:lineRule="auto"/>
              <w:jc w:val="center"/>
              <w:rPr>
                <w:rFonts w:ascii="Arial" w:hAnsi="Arial" w:cs="Arial"/>
                <w:b/>
                <w:bCs/>
                <w:sz w:val="20"/>
                <w:szCs w:val="20"/>
                <w:lang w:val="en-US"/>
              </w:rPr>
            </w:pPr>
            <w:r w:rsidRPr="00AE1338">
              <w:rPr>
                <w:rFonts w:ascii="Arial" w:hAnsi="Arial" w:cs="Arial"/>
                <w:b/>
                <w:bCs/>
                <w:sz w:val="20"/>
                <w:szCs w:val="20"/>
                <w:lang w:val="en-US"/>
              </w:rPr>
              <w:t>Venue</w:t>
            </w:r>
          </w:p>
        </w:tc>
      </w:tr>
      <w:tr w:rsidR="00B40F48" w:rsidRPr="00AE1338" w14:paraId="368A28A9" w14:textId="77777777" w:rsidTr="003158FD">
        <w:trPr>
          <w:jc w:val="center"/>
        </w:trPr>
        <w:tc>
          <w:tcPr>
            <w:tcW w:w="1666" w:type="pct"/>
            <w:vAlign w:val="center"/>
          </w:tcPr>
          <w:p w14:paraId="497BF357" w14:textId="709C4519" w:rsidR="00B40F48" w:rsidRDefault="00B40F48" w:rsidP="00A51969">
            <w:pPr>
              <w:spacing w:after="0" w:line="240" w:lineRule="auto"/>
              <w:jc w:val="center"/>
              <w:rPr>
                <w:rFonts w:ascii="Arial" w:hAnsi="Arial" w:cs="Arial"/>
                <w:b/>
                <w:bCs/>
                <w:sz w:val="20"/>
                <w:szCs w:val="20"/>
                <w:lang w:val="en-US"/>
              </w:rPr>
            </w:pPr>
            <w:r>
              <w:rPr>
                <w:rFonts w:ascii="Arial" w:hAnsi="Arial" w:cs="Arial"/>
                <w:b/>
                <w:bCs/>
                <w:sz w:val="20"/>
                <w:szCs w:val="20"/>
                <w:lang w:val="en-US"/>
              </w:rPr>
              <w:t>08:15</w:t>
            </w:r>
            <w:r w:rsidR="009D627C">
              <w:rPr>
                <w:rFonts w:ascii="Arial" w:hAnsi="Arial" w:cs="Arial"/>
                <w:b/>
                <w:bCs/>
                <w:sz w:val="20"/>
                <w:szCs w:val="20"/>
                <w:lang w:val="en-US"/>
              </w:rPr>
              <w:t>: 09:00</w:t>
            </w:r>
          </w:p>
        </w:tc>
        <w:tc>
          <w:tcPr>
            <w:tcW w:w="1666" w:type="pct"/>
            <w:vAlign w:val="center"/>
          </w:tcPr>
          <w:p w14:paraId="1BFABF79" w14:textId="77777777" w:rsidR="00B40F48" w:rsidRDefault="009D627C" w:rsidP="00A51969">
            <w:pPr>
              <w:spacing w:after="0" w:line="240" w:lineRule="auto"/>
              <w:jc w:val="center"/>
              <w:rPr>
                <w:rFonts w:ascii="Arial" w:hAnsi="Arial" w:cs="Arial"/>
                <w:b/>
                <w:bCs/>
                <w:sz w:val="20"/>
                <w:szCs w:val="20"/>
                <w:lang w:val="en-US"/>
              </w:rPr>
            </w:pPr>
            <w:r>
              <w:rPr>
                <w:rFonts w:ascii="Arial" w:hAnsi="Arial" w:cs="Arial"/>
                <w:b/>
                <w:bCs/>
                <w:sz w:val="20"/>
                <w:szCs w:val="20"/>
                <w:lang w:val="en-US"/>
              </w:rPr>
              <w:t>Keynote Speaker</w:t>
            </w:r>
          </w:p>
          <w:p w14:paraId="3B92E808" w14:textId="77777777" w:rsidR="00D3453C" w:rsidRPr="00D3453C" w:rsidRDefault="00D3453C" w:rsidP="00D3453C">
            <w:pPr>
              <w:spacing w:after="0" w:line="240" w:lineRule="auto"/>
              <w:jc w:val="center"/>
              <w:rPr>
                <w:rFonts w:ascii="Arial" w:hAnsi="Arial" w:cs="Arial"/>
                <w:b/>
                <w:bCs/>
                <w:sz w:val="20"/>
                <w:szCs w:val="20"/>
                <w:lang w:val="en-US"/>
              </w:rPr>
            </w:pPr>
            <w:r w:rsidRPr="00D3453C">
              <w:rPr>
                <w:rFonts w:ascii="Arial" w:hAnsi="Arial" w:cs="Arial"/>
                <w:b/>
                <w:bCs/>
                <w:sz w:val="20"/>
                <w:szCs w:val="20"/>
                <w:lang w:val="en-US"/>
              </w:rPr>
              <w:t>Ir. Tri Astoto Kurniawan, S.T., M.T., Ph.D., IPM</w:t>
            </w:r>
          </w:p>
          <w:p w14:paraId="0DDC5B7E" w14:textId="77777777" w:rsidR="00D3453C" w:rsidRPr="00D3453C" w:rsidRDefault="00D3453C" w:rsidP="00D3453C">
            <w:pPr>
              <w:spacing w:after="0" w:line="240" w:lineRule="auto"/>
              <w:jc w:val="center"/>
              <w:rPr>
                <w:rFonts w:ascii="Arial" w:hAnsi="Arial" w:cs="Arial"/>
                <w:b/>
                <w:bCs/>
                <w:sz w:val="20"/>
                <w:szCs w:val="20"/>
                <w:lang w:val="en-US"/>
              </w:rPr>
            </w:pPr>
            <w:r w:rsidRPr="00D3453C">
              <w:rPr>
                <w:rFonts w:ascii="Arial" w:hAnsi="Arial" w:cs="Arial"/>
                <w:b/>
                <w:bCs/>
                <w:sz w:val="20"/>
                <w:szCs w:val="20"/>
                <w:lang w:val="en-US"/>
              </w:rPr>
              <w:t>Dean of the Faculty of Computer Science</w:t>
            </w:r>
          </w:p>
          <w:p w14:paraId="33332367" w14:textId="59AEA96B" w:rsidR="00D3453C" w:rsidRPr="00AE1338" w:rsidRDefault="00D3453C" w:rsidP="00D3453C">
            <w:pPr>
              <w:spacing w:after="0" w:line="240" w:lineRule="auto"/>
              <w:jc w:val="center"/>
              <w:rPr>
                <w:rFonts w:ascii="Arial" w:hAnsi="Arial" w:cs="Arial"/>
                <w:b/>
                <w:bCs/>
                <w:sz w:val="20"/>
                <w:szCs w:val="20"/>
                <w:lang w:val="en-US"/>
              </w:rPr>
            </w:pPr>
            <w:r w:rsidRPr="00D3453C">
              <w:rPr>
                <w:rFonts w:ascii="Arial" w:hAnsi="Arial" w:cs="Arial"/>
                <w:b/>
                <w:bCs/>
                <w:sz w:val="20"/>
                <w:szCs w:val="20"/>
                <w:lang w:val="en-US"/>
              </w:rPr>
              <w:t>Universitas Brawijaya</w:t>
            </w:r>
          </w:p>
        </w:tc>
        <w:tc>
          <w:tcPr>
            <w:tcW w:w="1668" w:type="pct"/>
            <w:vAlign w:val="center"/>
          </w:tcPr>
          <w:p w14:paraId="4BE1F53E" w14:textId="5004AB3A" w:rsidR="00B40F48" w:rsidRPr="00AE1338" w:rsidRDefault="009D627C" w:rsidP="00A51969">
            <w:pPr>
              <w:spacing w:after="0" w:line="240" w:lineRule="auto"/>
              <w:jc w:val="center"/>
              <w:rPr>
                <w:rFonts w:ascii="Arial" w:hAnsi="Arial" w:cs="Arial"/>
                <w:b/>
                <w:bCs/>
                <w:sz w:val="20"/>
                <w:szCs w:val="20"/>
                <w:lang w:val="en-US"/>
              </w:rPr>
            </w:pPr>
            <w:r>
              <w:rPr>
                <w:rFonts w:ascii="Arial" w:hAnsi="Arial" w:cs="Arial"/>
                <w:b/>
                <w:bCs/>
                <w:sz w:val="20"/>
                <w:szCs w:val="20"/>
                <w:lang w:val="en-US"/>
              </w:rPr>
              <w:t>Online</w:t>
            </w:r>
          </w:p>
        </w:tc>
      </w:tr>
      <w:tr w:rsidR="003158FD" w:rsidRPr="00AE1338" w14:paraId="7A6EB6D0" w14:textId="77777777" w:rsidTr="003158FD">
        <w:trPr>
          <w:jc w:val="center"/>
        </w:trPr>
        <w:tc>
          <w:tcPr>
            <w:tcW w:w="1666" w:type="pct"/>
            <w:vAlign w:val="center"/>
          </w:tcPr>
          <w:p w14:paraId="320691B5" w14:textId="196F9911" w:rsidR="003158FD" w:rsidRPr="00AE1338" w:rsidRDefault="00A31CAA" w:rsidP="00A51969">
            <w:pPr>
              <w:spacing w:after="0" w:line="240" w:lineRule="auto"/>
              <w:jc w:val="center"/>
              <w:rPr>
                <w:rFonts w:ascii="Arial" w:hAnsi="Arial" w:cs="Arial"/>
                <w:b/>
                <w:bCs/>
                <w:sz w:val="20"/>
                <w:szCs w:val="20"/>
                <w:lang w:val="en-US"/>
              </w:rPr>
            </w:pPr>
            <w:r w:rsidRPr="00AE1338">
              <w:rPr>
                <w:rFonts w:ascii="Arial" w:hAnsi="Arial" w:cs="Arial"/>
                <w:b/>
                <w:bCs/>
                <w:sz w:val="20"/>
                <w:szCs w:val="20"/>
                <w:lang w:val="en-US"/>
              </w:rPr>
              <w:t>09:00 – 12:00</w:t>
            </w:r>
          </w:p>
        </w:tc>
        <w:tc>
          <w:tcPr>
            <w:tcW w:w="1666" w:type="pct"/>
            <w:vAlign w:val="center"/>
          </w:tcPr>
          <w:p w14:paraId="41108DB8" w14:textId="267B082D" w:rsidR="003158FD" w:rsidRPr="00AE1338" w:rsidRDefault="00B532B4" w:rsidP="00A51969">
            <w:pPr>
              <w:spacing w:after="0" w:line="240" w:lineRule="auto"/>
              <w:jc w:val="center"/>
              <w:rPr>
                <w:rFonts w:ascii="Arial" w:hAnsi="Arial" w:cs="Arial"/>
                <w:b/>
                <w:bCs/>
                <w:sz w:val="20"/>
                <w:szCs w:val="20"/>
                <w:lang w:val="en-US"/>
              </w:rPr>
            </w:pPr>
            <w:r>
              <w:rPr>
                <w:rFonts w:ascii="Arial" w:hAnsi="Arial" w:cs="Arial"/>
                <w:b/>
                <w:bCs/>
                <w:sz w:val="20"/>
                <w:szCs w:val="20"/>
                <w:lang w:val="en-US"/>
              </w:rPr>
              <w:t xml:space="preserve">Online </w:t>
            </w:r>
            <w:r w:rsidR="00FF3DE8" w:rsidRPr="00AE1338">
              <w:rPr>
                <w:rFonts w:ascii="Arial" w:hAnsi="Arial" w:cs="Arial"/>
                <w:b/>
                <w:bCs/>
                <w:sz w:val="20"/>
                <w:szCs w:val="20"/>
                <w:lang w:val="en-US"/>
              </w:rPr>
              <w:t>Parallel</w:t>
            </w:r>
            <w:r w:rsidR="00C06924" w:rsidRPr="00AE1338">
              <w:rPr>
                <w:rFonts w:ascii="Arial" w:hAnsi="Arial" w:cs="Arial"/>
                <w:b/>
                <w:bCs/>
                <w:sz w:val="20"/>
                <w:szCs w:val="20"/>
                <w:lang w:val="en-US"/>
              </w:rPr>
              <w:t xml:space="preserve"> Session</w:t>
            </w:r>
          </w:p>
        </w:tc>
        <w:tc>
          <w:tcPr>
            <w:tcW w:w="1668" w:type="pct"/>
            <w:vAlign w:val="center"/>
          </w:tcPr>
          <w:p w14:paraId="3319A8D5" w14:textId="7133A54D" w:rsidR="007726E2" w:rsidRPr="00AE1338" w:rsidRDefault="00C06924" w:rsidP="00A51969">
            <w:pPr>
              <w:spacing w:after="0" w:line="240" w:lineRule="auto"/>
              <w:jc w:val="center"/>
              <w:rPr>
                <w:rFonts w:ascii="Arial" w:hAnsi="Arial" w:cs="Arial"/>
                <w:b/>
                <w:bCs/>
                <w:sz w:val="20"/>
                <w:szCs w:val="20"/>
                <w:lang w:val="en-US"/>
              </w:rPr>
            </w:pPr>
            <w:r w:rsidRPr="00AE1338">
              <w:rPr>
                <w:rFonts w:ascii="Arial" w:hAnsi="Arial" w:cs="Arial"/>
                <w:b/>
                <w:bCs/>
                <w:sz w:val="20"/>
                <w:szCs w:val="20"/>
                <w:lang w:val="en-US"/>
              </w:rPr>
              <w:t>Online</w:t>
            </w:r>
          </w:p>
        </w:tc>
      </w:tr>
      <w:tr w:rsidR="005E06F3" w:rsidRPr="00AE1338" w14:paraId="5CC63FFA" w14:textId="77777777" w:rsidTr="003158FD">
        <w:trPr>
          <w:jc w:val="center"/>
        </w:trPr>
        <w:tc>
          <w:tcPr>
            <w:tcW w:w="1666" w:type="pct"/>
            <w:vAlign w:val="center"/>
          </w:tcPr>
          <w:p w14:paraId="046835B0" w14:textId="409020C8" w:rsidR="005E06F3" w:rsidRPr="00AE1338" w:rsidRDefault="005E06F3" w:rsidP="00A51969">
            <w:pPr>
              <w:spacing w:after="0" w:line="240" w:lineRule="auto"/>
              <w:jc w:val="center"/>
              <w:rPr>
                <w:rFonts w:ascii="Arial" w:hAnsi="Arial" w:cs="Arial"/>
                <w:b/>
                <w:bCs/>
                <w:sz w:val="20"/>
                <w:szCs w:val="20"/>
                <w:lang w:val="en-US"/>
              </w:rPr>
            </w:pPr>
            <w:r w:rsidRPr="00AE1338">
              <w:rPr>
                <w:rFonts w:ascii="Arial" w:hAnsi="Arial" w:cs="Arial"/>
                <w:b/>
                <w:bCs/>
                <w:sz w:val="20"/>
                <w:szCs w:val="20"/>
                <w:lang w:val="en-US"/>
              </w:rPr>
              <w:t>12:00 – 13:00</w:t>
            </w:r>
          </w:p>
        </w:tc>
        <w:tc>
          <w:tcPr>
            <w:tcW w:w="1666" w:type="pct"/>
            <w:vAlign w:val="center"/>
          </w:tcPr>
          <w:p w14:paraId="2CE0589C" w14:textId="74466DB2" w:rsidR="005E06F3" w:rsidRPr="00AE1338" w:rsidRDefault="005E06F3" w:rsidP="00A51969">
            <w:pPr>
              <w:spacing w:after="0" w:line="240" w:lineRule="auto"/>
              <w:jc w:val="center"/>
              <w:rPr>
                <w:rFonts w:ascii="Arial" w:hAnsi="Arial" w:cs="Arial"/>
                <w:b/>
                <w:bCs/>
                <w:sz w:val="20"/>
                <w:szCs w:val="20"/>
                <w:lang w:val="en-US"/>
              </w:rPr>
            </w:pPr>
            <w:r w:rsidRPr="00AE1338">
              <w:rPr>
                <w:rFonts w:ascii="Arial" w:hAnsi="Arial" w:cs="Arial"/>
                <w:b/>
                <w:bCs/>
                <w:sz w:val="20"/>
                <w:szCs w:val="20"/>
                <w:lang w:val="en-US"/>
              </w:rPr>
              <w:t>Lunch Time</w:t>
            </w:r>
          </w:p>
        </w:tc>
        <w:tc>
          <w:tcPr>
            <w:tcW w:w="1668" w:type="pct"/>
            <w:vAlign w:val="center"/>
          </w:tcPr>
          <w:p w14:paraId="35B430F0" w14:textId="24A4D2BE" w:rsidR="005E06F3" w:rsidRPr="00AE1338" w:rsidRDefault="005E06F3" w:rsidP="00A51969">
            <w:pPr>
              <w:spacing w:after="0" w:line="240" w:lineRule="auto"/>
              <w:jc w:val="center"/>
              <w:rPr>
                <w:rFonts w:ascii="Arial" w:hAnsi="Arial" w:cs="Arial"/>
                <w:b/>
                <w:bCs/>
                <w:sz w:val="20"/>
                <w:szCs w:val="20"/>
                <w:lang w:val="en-US"/>
              </w:rPr>
            </w:pPr>
          </w:p>
        </w:tc>
      </w:tr>
      <w:tr w:rsidR="005E06F3" w:rsidRPr="00AE1338" w14:paraId="11ED6F40" w14:textId="77777777" w:rsidTr="003158FD">
        <w:trPr>
          <w:jc w:val="center"/>
        </w:trPr>
        <w:tc>
          <w:tcPr>
            <w:tcW w:w="1666" w:type="pct"/>
            <w:vAlign w:val="center"/>
          </w:tcPr>
          <w:p w14:paraId="3C913D07" w14:textId="4F0BFD11" w:rsidR="005E06F3" w:rsidRPr="00AE1338" w:rsidRDefault="005E06F3" w:rsidP="00A51969">
            <w:pPr>
              <w:spacing w:after="0" w:line="240" w:lineRule="auto"/>
              <w:jc w:val="center"/>
              <w:rPr>
                <w:rFonts w:ascii="Arial" w:hAnsi="Arial" w:cs="Arial"/>
                <w:b/>
                <w:bCs/>
                <w:sz w:val="20"/>
                <w:szCs w:val="20"/>
                <w:lang w:val="en-US"/>
              </w:rPr>
            </w:pPr>
            <w:r w:rsidRPr="00AE1338">
              <w:rPr>
                <w:rFonts w:ascii="Arial" w:hAnsi="Arial" w:cs="Arial"/>
                <w:b/>
                <w:bCs/>
                <w:sz w:val="20"/>
                <w:szCs w:val="20"/>
                <w:lang w:val="en-US"/>
              </w:rPr>
              <w:t>13:00 – 1</w:t>
            </w:r>
            <w:r w:rsidR="00E55633">
              <w:rPr>
                <w:rFonts w:ascii="Arial" w:hAnsi="Arial" w:cs="Arial"/>
                <w:b/>
                <w:bCs/>
                <w:sz w:val="20"/>
                <w:szCs w:val="20"/>
                <w:lang w:val="en-US"/>
              </w:rPr>
              <w:t>4</w:t>
            </w:r>
            <w:r w:rsidRPr="00AE1338">
              <w:rPr>
                <w:rFonts w:ascii="Arial" w:hAnsi="Arial" w:cs="Arial"/>
                <w:b/>
                <w:bCs/>
                <w:sz w:val="20"/>
                <w:szCs w:val="20"/>
                <w:lang w:val="en-US"/>
              </w:rPr>
              <w:t>:</w:t>
            </w:r>
            <w:r w:rsidR="00E55633">
              <w:rPr>
                <w:rFonts w:ascii="Arial" w:hAnsi="Arial" w:cs="Arial"/>
                <w:b/>
                <w:bCs/>
                <w:sz w:val="20"/>
                <w:szCs w:val="20"/>
                <w:lang w:val="en-US"/>
              </w:rPr>
              <w:t>15</w:t>
            </w:r>
          </w:p>
        </w:tc>
        <w:tc>
          <w:tcPr>
            <w:tcW w:w="1666" w:type="pct"/>
            <w:vAlign w:val="center"/>
          </w:tcPr>
          <w:p w14:paraId="7012364B" w14:textId="44F9F292" w:rsidR="008E2D9F" w:rsidRDefault="00597633" w:rsidP="00A51969">
            <w:pPr>
              <w:spacing w:after="0" w:line="240" w:lineRule="auto"/>
              <w:jc w:val="center"/>
              <w:rPr>
                <w:rFonts w:ascii="Arial" w:hAnsi="Arial" w:cs="Arial"/>
                <w:b/>
                <w:bCs/>
                <w:sz w:val="20"/>
                <w:szCs w:val="20"/>
                <w:lang w:val="en-US"/>
              </w:rPr>
            </w:pPr>
            <w:r>
              <w:rPr>
                <w:rFonts w:ascii="Arial" w:hAnsi="Arial" w:cs="Arial"/>
                <w:b/>
                <w:bCs/>
                <w:sz w:val="20"/>
                <w:szCs w:val="20"/>
                <w:lang w:val="en-US"/>
              </w:rPr>
              <w:t>Workshop</w:t>
            </w:r>
          </w:p>
          <w:p w14:paraId="2ADEFBE7" w14:textId="01665BF0" w:rsidR="008A55A1" w:rsidRPr="00FC701D" w:rsidRDefault="008A55A1" w:rsidP="00A51969">
            <w:pPr>
              <w:spacing w:after="0" w:line="240" w:lineRule="auto"/>
              <w:jc w:val="center"/>
              <w:rPr>
                <w:rFonts w:ascii="Arial" w:hAnsi="Arial" w:cs="Arial"/>
                <w:b/>
                <w:bCs/>
                <w:sz w:val="20"/>
                <w:szCs w:val="20"/>
                <w:lang w:val="en-US"/>
              </w:rPr>
            </w:pPr>
            <w:proofErr w:type="gramStart"/>
            <w:r>
              <w:rPr>
                <w:rFonts w:ascii="Arial" w:hAnsi="Arial" w:cs="Arial"/>
                <w:b/>
                <w:bCs/>
                <w:sz w:val="20"/>
                <w:szCs w:val="20"/>
                <w:lang w:val="en-US"/>
              </w:rPr>
              <w:t>Moderator :</w:t>
            </w:r>
            <w:proofErr w:type="gramEnd"/>
            <w:r>
              <w:rPr>
                <w:rFonts w:ascii="Arial" w:hAnsi="Arial" w:cs="Arial"/>
                <w:b/>
                <w:bCs/>
                <w:sz w:val="20"/>
                <w:szCs w:val="20"/>
                <w:lang w:val="en-US"/>
              </w:rPr>
              <w:t xml:space="preserve"> </w:t>
            </w:r>
            <w:r w:rsidRPr="008A55A1">
              <w:rPr>
                <w:rFonts w:ascii="Arial" w:hAnsi="Arial" w:cs="Arial"/>
                <w:b/>
                <w:bCs/>
                <w:sz w:val="20"/>
                <w:szCs w:val="20"/>
                <w:lang w:val="en-US"/>
              </w:rPr>
              <w:t xml:space="preserve">Darusalam, </w:t>
            </w:r>
            <w:proofErr w:type="gramStart"/>
            <w:r w:rsidRPr="008A55A1">
              <w:rPr>
                <w:rFonts w:ascii="Arial" w:hAnsi="Arial" w:cs="Arial"/>
                <w:b/>
                <w:bCs/>
                <w:sz w:val="20"/>
                <w:szCs w:val="20"/>
                <w:lang w:val="en-US"/>
              </w:rPr>
              <w:t>S.Kom</w:t>
            </w:r>
            <w:proofErr w:type="gramEnd"/>
            <w:r w:rsidRPr="008A55A1">
              <w:rPr>
                <w:rFonts w:ascii="Arial" w:hAnsi="Arial" w:cs="Arial"/>
                <w:b/>
                <w:bCs/>
                <w:sz w:val="20"/>
                <w:szCs w:val="20"/>
                <w:lang w:val="en-US"/>
              </w:rPr>
              <w:t>., MSc., PhD - Scopus ID: 57201701139</w:t>
            </w:r>
          </w:p>
        </w:tc>
        <w:tc>
          <w:tcPr>
            <w:tcW w:w="1668" w:type="pct"/>
            <w:vAlign w:val="center"/>
          </w:tcPr>
          <w:p w14:paraId="477295E6" w14:textId="451D56BF" w:rsidR="005E06F3" w:rsidRPr="00AE1338" w:rsidRDefault="00527C5D" w:rsidP="00A51969">
            <w:pPr>
              <w:spacing w:after="0" w:line="240" w:lineRule="auto"/>
              <w:jc w:val="center"/>
              <w:rPr>
                <w:rFonts w:ascii="Arial" w:hAnsi="Arial" w:cs="Arial"/>
                <w:b/>
                <w:bCs/>
                <w:sz w:val="20"/>
                <w:szCs w:val="20"/>
                <w:lang w:val="en-US"/>
              </w:rPr>
            </w:pPr>
            <w:r w:rsidRPr="00AE1338">
              <w:rPr>
                <w:rFonts w:ascii="Arial" w:hAnsi="Arial" w:cs="Arial"/>
                <w:b/>
                <w:bCs/>
                <w:sz w:val="20"/>
                <w:szCs w:val="20"/>
                <w:lang w:val="en-US"/>
              </w:rPr>
              <w:t>Online</w:t>
            </w:r>
          </w:p>
        </w:tc>
      </w:tr>
      <w:tr w:rsidR="002342F5" w:rsidRPr="00AE1338" w14:paraId="57465EFC" w14:textId="77777777" w:rsidTr="003158FD">
        <w:trPr>
          <w:jc w:val="center"/>
        </w:trPr>
        <w:tc>
          <w:tcPr>
            <w:tcW w:w="1666" w:type="pct"/>
            <w:vAlign w:val="center"/>
          </w:tcPr>
          <w:p w14:paraId="6C48C086" w14:textId="3368010C" w:rsidR="002342F5" w:rsidRPr="00AE1338" w:rsidRDefault="002342F5" w:rsidP="00A51969">
            <w:pPr>
              <w:spacing w:after="0" w:line="240" w:lineRule="auto"/>
              <w:jc w:val="center"/>
              <w:rPr>
                <w:rFonts w:ascii="Arial" w:hAnsi="Arial" w:cs="Arial"/>
                <w:b/>
                <w:bCs/>
                <w:sz w:val="20"/>
                <w:szCs w:val="20"/>
                <w:lang w:val="en-US"/>
              </w:rPr>
            </w:pPr>
            <w:r w:rsidRPr="00AE1338">
              <w:rPr>
                <w:rFonts w:ascii="Arial" w:hAnsi="Arial" w:cs="Arial"/>
                <w:b/>
                <w:bCs/>
                <w:sz w:val="20"/>
                <w:szCs w:val="20"/>
                <w:lang w:val="en-US"/>
              </w:rPr>
              <w:t>1</w:t>
            </w:r>
            <w:r w:rsidR="00E55633">
              <w:rPr>
                <w:rFonts w:ascii="Arial" w:hAnsi="Arial" w:cs="Arial"/>
                <w:b/>
                <w:bCs/>
                <w:sz w:val="20"/>
                <w:szCs w:val="20"/>
                <w:lang w:val="en-US"/>
              </w:rPr>
              <w:t>4</w:t>
            </w:r>
            <w:r w:rsidRPr="00AE1338">
              <w:rPr>
                <w:rFonts w:ascii="Arial" w:hAnsi="Arial" w:cs="Arial"/>
                <w:b/>
                <w:bCs/>
                <w:sz w:val="20"/>
                <w:szCs w:val="20"/>
                <w:lang w:val="en-US"/>
              </w:rPr>
              <w:t>:</w:t>
            </w:r>
            <w:r w:rsidR="00E55633">
              <w:rPr>
                <w:rFonts w:ascii="Arial" w:hAnsi="Arial" w:cs="Arial"/>
                <w:b/>
                <w:bCs/>
                <w:sz w:val="20"/>
                <w:szCs w:val="20"/>
                <w:lang w:val="en-US"/>
              </w:rPr>
              <w:t>15</w:t>
            </w:r>
            <w:r w:rsidRPr="00AE1338">
              <w:rPr>
                <w:rFonts w:ascii="Arial" w:hAnsi="Arial" w:cs="Arial"/>
                <w:b/>
                <w:bCs/>
                <w:sz w:val="20"/>
                <w:szCs w:val="20"/>
                <w:lang w:val="en-US"/>
              </w:rPr>
              <w:t xml:space="preserve"> – 1</w:t>
            </w:r>
            <w:r w:rsidR="00E55633">
              <w:rPr>
                <w:rFonts w:ascii="Arial" w:hAnsi="Arial" w:cs="Arial"/>
                <w:b/>
                <w:bCs/>
                <w:sz w:val="20"/>
                <w:szCs w:val="20"/>
                <w:lang w:val="en-US"/>
              </w:rPr>
              <w:t>4</w:t>
            </w:r>
            <w:r w:rsidRPr="00AE1338">
              <w:rPr>
                <w:rFonts w:ascii="Arial" w:hAnsi="Arial" w:cs="Arial"/>
                <w:b/>
                <w:bCs/>
                <w:sz w:val="20"/>
                <w:szCs w:val="20"/>
                <w:lang w:val="en-US"/>
              </w:rPr>
              <w:t>:30</w:t>
            </w:r>
          </w:p>
        </w:tc>
        <w:tc>
          <w:tcPr>
            <w:tcW w:w="1666" w:type="pct"/>
            <w:vAlign w:val="center"/>
          </w:tcPr>
          <w:p w14:paraId="3E0EC6B9" w14:textId="142D5A72" w:rsidR="002342F5" w:rsidRPr="00AE1338" w:rsidRDefault="002342F5" w:rsidP="00A51969">
            <w:pPr>
              <w:spacing w:after="0" w:line="240" w:lineRule="auto"/>
              <w:jc w:val="center"/>
              <w:rPr>
                <w:rFonts w:ascii="Arial" w:hAnsi="Arial" w:cs="Arial"/>
                <w:b/>
                <w:bCs/>
                <w:sz w:val="20"/>
                <w:szCs w:val="20"/>
                <w:lang w:val="en-US"/>
              </w:rPr>
            </w:pPr>
            <w:r w:rsidRPr="00AE1338">
              <w:rPr>
                <w:rFonts w:ascii="Arial" w:hAnsi="Arial" w:cs="Arial"/>
                <w:b/>
                <w:bCs/>
                <w:sz w:val="20"/>
                <w:szCs w:val="20"/>
                <w:lang w:val="en-US"/>
              </w:rPr>
              <w:t>Closing Remarks</w:t>
            </w:r>
          </w:p>
        </w:tc>
        <w:tc>
          <w:tcPr>
            <w:tcW w:w="1668" w:type="pct"/>
            <w:vAlign w:val="center"/>
          </w:tcPr>
          <w:p w14:paraId="57EA6C37" w14:textId="1B7D75F1" w:rsidR="002342F5" w:rsidRPr="00AE1338" w:rsidRDefault="00B85BDC" w:rsidP="00A51969">
            <w:pPr>
              <w:spacing w:after="0" w:line="240" w:lineRule="auto"/>
              <w:jc w:val="center"/>
              <w:rPr>
                <w:rFonts w:ascii="Arial" w:hAnsi="Arial" w:cs="Arial"/>
                <w:b/>
                <w:bCs/>
                <w:sz w:val="20"/>
                <w:szCs w:val="20"/>
                <w:lang w:val="en-US"/>
              </w:rPr>
            </w:pPr>
            <w:r w:rsidRPr="00AE1338">
              <w:rPr>
                <w:rFonts w:ascii="Arial" w:hAnsi="Arial" w:cs="Arial"/>
                <w:b/>
                <w:bCs/>
                <w:sz w:val="20"/>
                <w:szCs w:val="20"/>
                <w:lang w:val="en-US"/>
              </w:rPr>
              <w:t>Online</w:t>
            </w:r>
          </w:p>
        </w:tc>
      </w:tr>
    </w:tbl>
    <w:p w14:paraId="0DA518D5" w14:textId="77777777" w:rsidR="004D4907" w:rsidRDefault="004D4907" w:rsidP="00A51969">
      <w:pPr>
        <w:spacing w:after="0" w:line="240" w:lineRule="auto"/>
        <w:rPr>
          <w:rFonts w:ascii="Arial" w:hAnsi="Arial" w:cs="Arial"/>
          <w:b/>
          <w:bCs/>
          <w:sz w:val="20"/>
          <w:szCs w:val="20"/>
          <w:lang w:val="en-US"/>
        </w:rPr>
      </w:pPr>
    </w:p>
    <w:p w14:paraId="74567177" w14:textId="11C6FDF4" w:rsidR="00092FB9" w:rsidRPr="00296B9B" w:rsidRDefault="00092FB9" w:rsidP="00A51969">
      <w:pPr>
        <w:spacing w:after="0" w:line="240" w:lineRule="auto"/>
        <w:jc w:val="center"/>
        <w:rPr>
          <w:rFonts w:ascii="Arial" w:hAnsi="Arial" w:cs="Arial"/>
          <w:b/>
          <w:bCs/>
          <w:color w:val="EE0000"/>
          <w:sz w:val="28"/>
          <w:szCs w:val="28"/>
          <w:lang w:val="en-US"/>
        </w:rPr>
      </w:pPr>
      <w:r w:rsidRPr="00296B9B">
        <w:rPr>
          <w:rFonts w:ascii="Arial" w:hAnsi="Arial" w:cs="Arial"/>
          <w:b/>
          <w:bCs/>
          <w:color w:val="EE0000"/>
          <w:sz w:val="28"/>
          <w:szCs w:val="28"/>
          <w:lang w:val="en-US"/>
        </w:rPr>
        <w:t>Zoom Link for all Hybrid Session:</w:t>
      </w:r>
    </w:p>
    <w:p w14:paraId="7E57EE44" w14:textId="4E38CE7D" w:rsidR="00092FB9" w:rsidRPr="00296B9B" w:rsidRDefault="00092FB9" w:rsidP="00A51969">
      <w:pPr>
        <w:spacing w:after="0" w:line="240" w:lineRule="auto"/>
        <w:jc w:val="center"/>
        <w:rPr>
          <w:rFonts w:ascii="Arial" w:hAnsi="Arial" w:cs="Arial"/>
          <w:color w:val="EE0000"/>
          <w:sz w:val="28"/>
          <w:szCs w:val="28"/>
          <w:lang w:val="en-US"/>
        </w:rPr>
      </w:pPr>
      <w:r w:rsidRPr="00296B9B">
        <w:rPr>
          <w:rFonts w:ascii="Arial" w:hAnsi="Arial" w:cs="Arial"/>
          <w:color w:val="EE0000"/>
          <w:sz w:val="28"/>
          <w:szCs w:val="28"/>
          <w:lang w:val="en-US"/>
        </w:rPr>
        <w:t>https://univ-brawijaya.zoom.us/j/93634441867?pwd=XEpis4IWUHQHEpv7Y9BLKbxCw1Gsst.1</w:t>
      </w:r>
    </w:p>
    <w:p w14:paraId="159E0B76" w14:textId="77777777" w:rsidR="00092FB9" w:rsidRPr="00AE1338" w:rsidRDefault="00092FB9" w:rsidP="00A51969">
      <w:pPr>
        <w:spacing w:after="0" w:line="240" w:lineRule="auto"/>
        <w:rPr>
          <w:rFonts w:ascii="Arial" w:hAnsi="Arial" w:cs="Arial"/>
          <w:b/>
          <w:bCs/>
          <w:sz w:val="20"/>
          <w:szCs w:val="20"/>
          <w:lang w:val="en-US"/>
        </w:rPr>
      </w:pPr>
    </w:p>
    <w:p w14:paraId="2610A546" w14:textId="33AF0ED7" w:rsidR="004D4907" w:rsidRPr="00AE1338" w:rsidRDefault="004D4907" w:rsidP="00A51969">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jc w:val="center"/>
        <w:rPr>
          <w:rFonts w:ascii="Arial" w:hAnsi="Arial" w:cs="Arial"/>
          <w:b/>
          <w:bCs/>
          <w:sz w:val="20"/>
          <w:szCs w:val="20"/>
          <w:lang w:val="en-US"/>
        </w:rPr>
      </w:pPr>
      <w:r w:rsidRPr="00AE1338">
        <w:rPr>
          <w:rFonts w:ascii="Arial" w:hAnsi="Arial" w:cs="Arial"/>
          <w:b/>
          <w:bCs/>
          <w:sz w:val="20"/>
          <w:szCs w:val="20"/>
          <w:lang w:val="en-US"/>
        </w:rPr>
        <w:t>DETAIL OF SESSION</w:t>
      </w:r>
      <w:r w:rsidR="00843603">
        <w:rPr>
          <w:rFonts w:ascii="Arial" w:hAnsi="Arial" w:cs="Arial"/>
          <w:b/>
          <w:bCs/>
          <w:sz w:val="20"/>
          <w:szCs w:val="20"/>
          <w:lang w:val="en-US"/>
        </w:rPr>
        <w:t xml:space="preserve"> (</w:t>
      </w:r>
      <w:r w:rsidR="00644383">
        <w:rPr>
          <w:rFonts w:ascii="Arial" w:hAnsi="Arial" w:cs="Arial"/>
          <w:b/>
          <w:bCs/>
          <w:sz w:val="20"/>
          <w:szCs w:val="20"/>
          <w:lang w:val="en-US"/>
        </w:rPr>
        <w:t>*</w:t>
      </w:r>
      <w:r w:rsidR="00843603">
        <w:rPr>
          <w:rFonts w:ascii="Arial" w:hAnsi="Arial" w:cs="Arial"/>
          <w:b/>
          <w:bCs/>
          <w:sz w:val="20"/>
          <w:szCs w:val="20"/>
          <w:lang w:val="en-US"/>
        </w:rPr>
        <w:t>tbc)</w:t>
      </w:r>
    </w:p>
    <w:p w14:paraId="50DD8967" w14:textId="77777777" w:rsidR="004D4907" w:rsidRPr="00AE1338" w:rsidRDefault="004D4907" w:rsidP="00A51969">
      <w:pPr>
        <w:spacing w:after="0" w:line="240" w:lineRule="auto"/>
        <w:jc w:val="center"/>
        <w:rPr>
          <w:rFonts w:ascii="Arial" w:hAnsi="Arial" w:cs="Arial"/>
          <w:b/>
          <w:bCs/>
          <w:sz w:val="20"/>
          <w:szCs w:val="20"/>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701"/>
        <w:gridCol w:w="6339"/>
      </w:tblGrid>
      <w:tr w:rsidR="00BA2A5B" w:rsidRPr="00E84230" w14:paraId="77890E98" w14:textId="77777777" w:rsidTr="00860886">
        <w:trPr>
          <w:jc w:val="center"/>
        </w:trPr>
        <w:tc>
          <w:tcPr>
            <w:tcW w:w="0" w:type="auto"/>
            <w:gridSpan w:val="3"/>
            <w:vAlign w:val="center"/>
          </w:tcPr>
          <w:p w14:paraId="5C67CBC2" w14:textId="492AF4C3" w:rsidR="00BA2A5B" w:rsidRPr="00E84230" w:rsidRDefault="000614C0" w:rsidP="00A51969">
            <w:pPr>
              <w:spacing w:after="0" w:line="240" w:lineRule="auto"/>
              <w:jc w:val="right"/>
              <w:rPr>
                <w:rFonts w:ascii="Arial" w:hAnsi="Arial" w:cs="Arial"/>
                <w:b/>
                <w:bCs/>
                <w:sz w:val="20"/>
                <w:szCs w:val="20"/>
                <w:lang w:val="en-US"/>
              </w:rPr>
            </w:pPr>
            <w:r w:rsidRPr="00E84230">
              <w:rPr>
                <w:rFonts w:ascii="Arial" w:hAnsi="Arial" w:cs="Arial"/>
                <w:b/>
                <w:bCs/>
                <w:sz w:val="20"/>
                <w:szCs w:val="20"/>
                <w:lang w:val="en-US"/>
              </w:rPr>
              <w:t>19</w:t>
            </w:r>
            <w:r w:rsidR="00BA2A5B" w:rsidRPr="00E84230">
              <w:rPr>
                <w:rFonts w:ascii="Arial" w:hAnsi="Arial" w:cs="Arial"/>
                <w:b/>
                <w:bCs/>
                <w:sz w:val="20"/>
                <w:szCs w:val="20"/>
                <w:vertAlign w:val="superscript"/>
                <w:lang w:val="en-US"/>
              </w:rPr>
              <w:t>th</w:t>
            </w:r>
            <w:r w:rsidR="00BA2A5B" w:rsidRPr="00E84230">
              <w:rPr>
                <w:rFonts w:ascii="Arial" w:hAnsi="Arial" w:cs="Arial"/>
                <w:b/>
                <w:bCs/>
                <w:sz w:val="20"/>
                <w:szCs w:val="20"/>
                <w:lang w:val="en-US"/>
              </w:rPr>
              <w:t xml:space="preserve"> August 2025</w:t>
            </w:r>
          </w:p>
          <w:p w14:paraId="0E93BAD9" w14:textId="7E95AF5B" w:rsidR="00BA2A5B" w:rsidRPr="00E84230" w:rsidRDefault="004A12FA" w:rsidP="00A51969">
            <w:pPr>
              <w:spacing w:after="0" w:line="240" w:lineRule="auto"/>
              <w:jc w:val="center"/>
              <w:rPr>
                <w:rFonts w:ascii="Arial" w:hAnsi="Arial" w:cs="Arial"/>
                <w:b/>
                <w:bCs/>
                <w:sz w:val="20"/>
                <w:szCs w:val="20"/>
                <w:lang w:val="en-US"/>
              </w:rPr>
            </w:pPr>
            <w:r w:rsidRPr="00E84230">
              <w:rPr>
                <w:rFonts w:ascii="Arial" w:hAnsi="Arial" w:cs="Arial"/>
                <w:b/>
                <w:bCs/>
                <w:sz w:val="20"/>
                <w:szCs w:val="20"/>
                <w:lang w:val="en-US"/>
              </w:rPr>
              <w:t xml:space="preserve">Parallel </w:t>
            </w:r>
            <w:r w:rsidR="00BA2A5B" w:rsidRPr="00E84230">
              <w:rPr>
                <w:rFonts w:ascii="Arial" w:hAnsi="Arial" w:cs="Arial"/>
                <w:b/>
                <w:bCs/>
                <w:sz w:val="20"/>
                <w:szCs w:val="20"/>
                <w:lang w:val="en-US"/>
              </w:rPr>
              <w:t>Session A</w:t>
            </w:r>
          </w:p>
          <w:p w14:paraId="44996CA1" w14:textId="13374E75" w:rsidR="00807D55" w:rsidRPr="00E84230" w:rsidRDefault="00BA2A5B" w:rsidP="00A51969">
            <w:pPr>
              <w:spacing w:after="0" w:line="240" w:lineRule="auto"/>
              <w:rPr>
                <w:rFonts w:ascii="Arial" w:hAnsi="Arial" w:cs="Arial"/>
                <w:b/>
                <w:bCs/>
                <w:sz w:val="20"/>
                <w:szCs w:val="20"/>
                <w:lang w:val="en-US"/>
              </w:rPr>
            </w:pPr>
            <w:r w:rsidRPr="00E84230">
              <w:rPr>
                <w:rFonts w:ascii="Arial" w:hAnsi="Arial" w:cs="Arial"/>
                <w:b/>
                <w:bCs/>
                <w:sz w:val="20"/>
                <w:szCs w:val="20"/>
                <w:lang w:val="en-US"/>
              </w:rPr>
              <w:t>Session Chair:</w:t>
            </w:r>
            <w:r w:rsidR="000614C0" w:rsidRPr="00E84230">
              <w:rPr>
                <w:rFonts w:ascii="Arial" w:hAnsi="Arial" w:cs="Arial"/>
                <w:b/>
                <w:bCs/>
                <w:sz w:val="20"/>
                <w:szCs w:val="20"/>
                <w:lang w:val="en-US"/>
              </w:rPr>
              <w:t xml:space="preserve"> </w:t>
            </w:r>
            <w:r w:rsidR="004874E7">
              <w:rPr>
                <w:rFonts w:ascii="Arial" w:hAnsi="Arial" w:cs="Arial"/>
                <w:b/>
                <w:bCs/>
                <w:sz w:val="20"/>
                <w:szCs w:val="20"/>
                <w:lang w:val="en-US"/>
              </w:rPr>
              <w:t>Dr. Ahmad Tajudin</w:t>
            </w:r>
            <w:r w:rsidR="00156DAC">
              <w:rPr>
                <w:rFonts w:ascii="Arial" w:hAnsi="Arial" w:cs="Arial"/>
                <w:b/>
                <w:bCs/>
                <w:sz w:val="20"/>
                <w:szCs w:val="20"/>
                <w:lang w:val="en-US"/>
              </w:rPr>
              <w:t>/Bayu Raha</w:t>
            </w:r>
            <w:r w:rsidR="009727FD">
              <w:rPr>
                <w:rFonts w:ascii="Arial" w:hAnsi="Arial" w:cs="Arial"/>
                <w:b/>
                <w:bCs/>
                <w:sz w:val="20"/>
                <w:szCs w:val="20"/>
                <w:lang w:val="en-US"/>
              </w:rPr>
              <w:t>yudi MT.MM</w:t>
            </w:r>
          </w:p>
          <w:p w14:paraId="1D58AA36" w14:textId="77777777" w:rsidR="00BA2A5B" w:rsidRDefault="00BA2A5B" w:rsidP="00A51969">
            <w:pPr>
              <w:spacing w:after="0" w:line="240" w:lineRule="auto"/>
              <w:rPr>
                <w:rFonts w:ascii="Arial" w:hAnsi="Arial" w:cs="Arial"/>
                <w:b/>
                <w:bCs/>
                <w:sz w:val="20"/>
                <w:szCs w:val="20"/>
                <w:lang w:val="en-US"/>
              </w:rPr>
            </w:pPr>
            <w:r w:rsidRPr="00E84230">
              <w:rPr>
                <w:rFonts w:ascii="Arial" w:hAnsi="Arial" w:cs="Arial"/>
                <w:b/>
                <w:bCs/>
                <w:sz w:val="20"/>
                <w:szCs w:val="20"/>
                <w:lang w:val="en-US"/>
              </w:rPr>
              <w:t>Location:</w:t>
            </w:r>
            <w:r w:rsidR="00B0283C" w:rsidRPr="00E84230">
              <w:rPr>
                <w:rFonts w:ascii="Arial" w:hAnsi="Arial" w:cs="Arial"/>
                <w:b/>
                <w:bCs/>
                <w:sz w:val="20"/>
                <w:szCs w:val="20"/>
                <w:lang w:val="en-US"/>
              </w:rPr>
              <w:t xml:space="preserve"> </w:t>
            </w:r>
            <w:r w:rsidR="00DB07BF" w:rsidRPr="00DB07BF">
              <w:rPr>
                <w:rFonts w:ascii="Arial" w:hAnsi="Arial" w:cs="Arial"/>
                <w:b/>
                <w:bCs/>
                <w:sz w:val="20"/>
                <w:szCs w:val="20"/>
                <w:lang w:val="en-US"/>
              </w:rPr>
              <w:t>“Mehmet Akif Ersoy Conference Hall”</w:t>
            </w:r>
          </w:p>
          <w:p w14:paraId="23E73280" w14:textId="7EBAB13D" w:rsidR="00DB07BF" w:rsidRPr="00E84230" w:rsidRDefault="00DB07BF" w:rsidP="00A51969">
            <w:pPr>
              <w:spacing w:after="0" w:line="240" w:lineRule="auto"/>
              <w:rPr>
                <w:rFonts w:ascii="Arial" w:hAnsi="Arial" w:cs="Arial"/>
                <w:b/>
                <w:bCs/>
                <w:sz w:val="20"/>
                <w:szCs w:val="20"/>
                <w:lang w:val="en-US"/>
              </w:rPr>
            </w:pPr>
          </w:p>
        </w:tc>
      </w:tr>
      <w:tr w:rsidR="00BA2A5B" w:rsidRPr="00E84230" w14:paraId="1D8C879B" w14:textId="77777777" w:rsidTr="00CE38D2">
        <w:trPr>
          <w:jc w:val="center"/>
        </w:trPr>
        <w:tc>
          <w:tcPr>
            <w:tcW w:w="1696" w:type="dxa"/>
            <w:vAlign w:val="center"/>
          </w:tcPr>
          <w:p w14:paraId="6001E2F7" w14:textId="33977B89" w:rsidR="00BA2A5B" w:rsidRPr="00E84230" w:rsidRDefault="000614C0" w:rsidP="00A51969">
            <w:pPr>
              <w:spacing w:after="0" w:line="240" w:lineRule="auto"/>
              <w:jc w:val="center"/>
              <w:rPr>
                <w:rFonts w:ascii="Arial" w:hAnsi="Arial" w:cs="Arial"/>
                <w:b/>
                <w:bCs/>
                <w:sz w:val="20"/>
                <w:szCs w:val="20"/>
                <w:lang w:val="en-US"/>
              </w:rPr>
            </w:pPr>
            <w:r w:rsidRPr="00E84230">
              <w:rPr>
                <w:rFonts w:ascii="Arial" w:hAnsi="Arial" w:cs="Arial"/>
                <w:b/>
                <w:bCs/>
                <w:sz w:val="20"/>
                <w:szCs w:val="20"/>
                <w:lang w:val="en-US"/>
              </w:rPr>
              <w:t>Time (Istanbul Turkiye)</w:t>
            </w:r>
          </w:p>
        </w:tc>
        <w:tc>
          <w:tcPr>
            <w:tcW w:w="1701" w:type="dxa"/>
            <w:vAlign w:val="center"/>
          </w:tcPr>
          <w:p w14:paraId="436D0069" w14:textId="338FF24A" w:rsidR="00BA2A5B" w:rsidRPr="00E84230" w:rsidRDefault="00B0283C" w:rsidP="00A51969">
            <w:pPr>
              <w:spacing w:after="0" w:line="240" w:lineRule="auto"/>
              <w:jc w:val="center"/>
              <w:rPr>
                <w:rFonts w:ascii="Arial" w:hAnsi="Arial" w:cs="Arial"/>
                <w:b/>
                <w:bCs/>
                <w:sz w:val="20"/>
                <w:szCs w:val="20"/>
                <w:lang w:val="en-US"/>
              </w:rPr>
            </w:pPr>
            <w:r w:rsidRPr="00E84230">
              <w:rPr>
                <w:rFonts w:ascii="Arial" w:hAnsi="Arial" w:cs="Arial"/>
                <w:b/>
                <w:bCs/>
                <w:sz w:val="20"/>
                <w:szCs w:val="20"/>
                <w:lang w:val="en-US"/>
              </w:rPr>
              <w:t xml:space="preserve">Paper </w:t>
            </w:r>
            <w:r w:rsidR="001332F2">
              <w:rPr>
                <w:rFonts w:ascii="Arial" w:hAnsi="Arial" w:cs="Arial"/>
                <w:b/>
                <w:bCs/>
                <w:sz w:val="20"/>
                <w:szCs w:val="20"/>
                <w:lang w:val="en-US"/>
              </w:rPr>
              <w:t>ID</w:t>
            </w:r>
          </w:p>
        </w:tc>
        <w:tc>
          <w:tcPr>
            <w:tcW w:w="6339" w:type="dxa"/>
            <w:vAlign w:val="center"/>
          </w:tcPr>
          <w:p w14:paraId="47B59E73" w14:textId="70B6BDAE" w:rsidR="00BA2A5B" w:rsidRPr="00E84230" w:rsidRDefault="001332F2" w:rsidP="00A51969">
            <w:pPr>
              <w:spacing w:after="0" w:line="240" w:lineRule="auto"/>
              <w:jc w:val="center"/>
              <w:rPr>
                <w:rFonts w:ascii="Arial" w:hAnsi="Arial" w:cs="Arial"/>
                <w:b/>
                <w:bCs/>
                <w:sz w:val="20"/>
                <w:szCs w:val="20"/>
                <w:lang w:val="en-US"/>
              </w:rPr>
            </w:pPr>
            <w:r w:rsidRPr="00E84230">
              <w:rPr>
                <w:rFonts w:ascii="Arial" w:hAnsi="Arial" w:cs="Arial"/>
                <w:b/>
                <w:bCs/>
                <w:sz w:val="20"/>
                <w:szCs w:val="20"/>
                <w:lang w:val="en-US"/>
              </w:rPr>
              <w:t>Paper</w:t>
            </w:r>
            <w:r>
              <w:rPr>
                <w:rFonts w:ascii="Arial" w:hAnsi="Arial" w:cs="Arial"/>
                <w:b/>
                <w:bCs/>
                <w:sz w:val="20"/>
                <w:szCs w:val="20"/>
                <w:lang w:val="en-US"/>
              </w:rPr>
              <w:t xml:space="preserve"> Title</w:t>
            </w:r>
          </w:p>
        </w:tc>
      </w:tr>
      <w:tr w:rsidR="00A51969" w:rsidRPr="00E84230" w14:paraId="7D0867BA" w14:textId="77777777" w:rsidTr="00A51969">
        <w:trPr>
          <w:jc w:val="center"/>
        </w:trPr>
        <w:tc>
          <w:tcPr>
            <w:tcW w:w="1696" w:type="dxa"/>
            <w:vAlign w:val="center"/>
          </w:tcPr>
          <w:p w14:paraId="333B1961" w14:textId="719FE97F" w:rsidR="00A51969" w:rsidRPr="00A51969" w:rsidRDefault="00A51969" w:rsidP="00A51969">
            <w:pPr>
              <w:spacing w:after="0" w:line="240" w:lineRule="auto"/>
              <w:jc w:val="center"/>
              <w:rPr>
                <w:rFonts w:ascii="Arial" w:hAnsi="Arial" w:cs="Arial"/>
                <w:b/>
                <w:bCs/>
                <w:sz w:val="20"/>
                <w:szCs w:val="20"/>
                <w:lang w:val="en-US"/>
              </w:rPr>
            </w:pPr>
            <w:r w:rsidRPr="00A51969">
              <w:rPr>
                <w:rFonts w:ascii="Arial" w:hAnsi="Arial" w:cs="Arial"/>
                <w:b/>
                <w:bCs/>
                <w:sz w:val="20"/>
                <w:szCs w:val="20"/>
              </w:rPr>
              <w:t>13:30–13:50</w:t>
            </w:r>
          </w:p>
        </w:tc>
        <w:tc>
          <w:tcPr>
            <w:tcW w:w="1701" w:type="dxa"/>
            <w:vAlign w:val="center"/>
          </w:tcPr>
          <w:p w14:paraId="7D49706E" w14:textId="3BA5F251" w:rsidR="00A51969" w:rsidRPr="00082253" w:rsidRDefault="00A51969" w:rsidP="00A51969">
            <w:pPr>
              <w:spacing w:after="0" w:line="240" w:lineRule="auto"/>
              <w:jc w:val="center"/>
              <w:rPr>
                <w:rFonts w:ascii="Arial" w:hAnsi="Arial" w:cs="Arial"/>
                <w:sz w:val="20"/>
                <w:szCs w:val="20"/>
                <w:lang w:val="en-US"/>
              </w:rPr>
            </w:pPr>
            <w:r w:rsidRPr="00082253">
              <w:rPr>
                <w:rFonts w:ascii="Arial" w:hAnsi="Arial" w:cs="Arial"/>
                <w:color w:val="000000"/>
                <w:sz w:val="20"/>
                <w:szCs w:val="20"/>
              </w:rPr>
              <w:t>33</w:t>
            </w:r>
          </w:p>
        </w:tc>
        <w:tc>
          <w:tcPr>
            <w:tcW w:w="6339" w:type="dxa"/>
            <w:vAlign w:val="center"/>
          </w:tcPr>
          <w:p w14:paraId="056B3622" w14:textId="101B2877" w:rsidR="00A51969" w:rsidRPr="00082253" w:rsidRDefault="00A51969" w:rsidP="00A51969">
            <w:pPr>
              <w:spacing w:after="0" w:line="240" w:lineRule="auto"/>
              <w:jc w:val="center"/>
              <w:rPr>
                <w:rFonts w:ascii="Arial" w:hAnsi="Arial" w:cs="Arial"/>
                <w:sz w:val="20"/>
                <w:szCs w:val="20"/>
                <w:lang w:val="en-US"/>
              </w:rPr>
            </w:pPr>
            <w:r w:rsidRPr="00082253">
              <w:rPr>
                <w:rFonts w:ascii="Arial" w:hAnsi="Arial" w:cs="Arial"/>
                <w:color w:val="000000"/>
                <w:sz w:val="20"/>
                <w:szCs w:val="20"/>
              </w:rPr>
              <w:t xml:space="preserve">From Social Influence </w:t>
            </w:r>
            <w:proofErr w:type="gramStart"/>
            <w:r w:rsidRPr="00082253">
              <w:rPr>
                <w:rFonts w:ascii="Arial" w:hAnsi="Arial" w:cs="Arial"/>
                <w:color w:val="000000"/>
                <w:sz w:val="20"/>
                <w:szCs w:val="20"/>
              </w:rPr>
              <w:t>to</w:t>
            </w:r>
            <w:proofErr w:type="gramEnd"/>
            <w:r w:rsidRPr="00082253">
              <w:rPr>
                <w:rFonts w:ascii="Arial" w:hAnsi="Arial" w:cs="Arial"/>
                <w:color w:val="000000"/>
                <w:sz w:val="20"/>
                <w:szCs w:val="20"/>
              </w:rPr>
              <w:t xml:space="preserve"> Purchase Decision: The Mediating Role of Purchase Intention in Streamer Reviews, Virality, and Electronic Word of Mouth</w:t>
            </w:r>
          </w:p>
        </w:tc>
      </w:tr>
      <w:tr w:rsidR="00A51969" w:rsidRPr="00E84230" w14:paraId="61AF7271" w14:textId="77777777" w:rsidTr="00A51969">
        <w:trPr>
          <w:jc w:val="center"/>
        </w:trPr>
        <w:tc>
          <w:tcPr>
            <w:tcW w:w="1696" w:type="dxa"/>
            <w:vAlign w:val="center"/>
          </w:tcPr>
          <w:p w14:paraId="46803F4F" w14:textId="5204456C" w:rsidR="00A51969" w:rsidRPr="00A51969" w:rsidRDefault="00A51969" w:rsidP="00A51969">
            <w:pPr>
              <w:spacing w:after="0" w:line="240" w:lineRule="auto"/>
              <w:jc w:val="center"/>
              <w:rPr>
                <w:rFonts w:ascii="Arial" w:hAnsi="Arial" w:cs="Arial"/>
                <w:b/>
                <w:bCs/>
                <w:sz w:val="20"/>
                <w:szCs w:val="20"/>
                <w:lang w:val="en-US"/>
              </w:rPr>
            </w:pPr>
            <w:r w:rsidRPr="00A51969">
              <w:rPr>
                <w:rFonts w:ascii="Arial" w:hAnsi="Arial" w:cs="Arial"/>
                <w:b/>
                <w:bCs/>
                <w:sz w:val="20"/>
                <w:szCs w:val="20"/>
              </w:rPr>
              <w:t>13:50–14:10</w:t>
            </w:r>
          </w:p>
        </w:tc>
        <w:tc>
          <w:tcPr>
            <w:tcW w:w="1701" w:type="dxa"/>
            <w:vAlign w:val="center"/>
          </w:tcPr>
          <w:p w14:paraId="41099363" w14:textId="06BFC7A3" w:rsidR="00A51969" w:rsidRPr="00082253" w:rsidRDefault="00A51969" w:rsidP="00A51969">
            <w:pPr>
              <w:spacing w:after="0" w:line="240" w:lineRule="auto"/>
              <w:jc w:val="center"/>
              <w:rPr>
                <w:rFonts w:ascii="Arial" w:hAnsi="Arial" w:cs="Arial"/>
                <w:sz w:val="20"/>
                <w:szCs w:val="20"/>
                <w:lang w:val="en-US"/>
              </w:rPr>
            </w:pPr>
            <w:r w:rsidRPr="00082253">
              <w:rPr>
                <w:rFonts w:ascii="Arial" w:hAnsi="Arial" w:cs="Arial"/>
                <w:color w:val="000000"/>
                <w:sz w:val="20"/>
                <w:szCs w:val="20"/>
              </w:rPr>
              <w:t>48</w:t>
            </w:r>
          </w:p>
        </w:tc>
        <w:tc>
          <w:tcPr>
            <w:tcW w:w="6339" w:type="dxa"/>
            <w:vAlign w:val="center"/>
          </w:tcPr>
          <w:p w14:paraId="27682711" w14:textId="56B6ED67" w:rsidR="00A51969" w:rsidRPr="00082253" w:rsidRDefault="00A51969" w:rsidP="00A51969">
            <w:pPr>
              <w:spacing w:after="0" w:line="240" w:lineRule="auto"/>
              <w:jc w:val="center"/>
              <w:rPr>
                <w:rFonts w:ascii="Arial" w:hAnsi="Arial" w:cs="Arial"/>
                <w:sz w:val="20"/>
                <w:szCs w:val="20"/>
                <w:lang w:val="en-US"/>
              </w:rPr>
            </w:pPr>
            <w:r w:rsidRPr="00082253">
              <w:rPr>
                <w:rFonts w:ascii="Arial" w:hAnsi="Arial" w:cs="Arial"/>
                <w:color w:val="000000"/>
                <w:sz w:val="20"/>
                <w:szCs w:val="20"/>
              </w:rPr>
              <w:t>Applying Social Cognitive Theory to Understand Prompt Engineering Strategies Among Backend Engineers</w:t>
            </w:r>
          </w:p>
        </w:tc>
      </w:tr>
      <w:tr w:rsidR="00A51969" w:rsidRPr="00082253" w14:paraId="762B1069" w14:textId="77777777" w:rsidTr="00A51969">
        <w:trPr>
          <w:jc w:val="center"/>
        </w:trPr>
        <w:tc>
          <w:tcPr>
            <w:tcW w:w="1696" w:type="dxa"/>
            <w:vAlign w:val="center"/>
          </w:tcPr>
          <w:p w14:paraId="22C64CE4" w14:textId="4D3FA56D" w:rsidR="00A51969" w:rsidRPr="00A51969" w:rsidRDefault="00A51969" w:rsidP="00A51969">
            <w:pPr>
              <w:spacing w:after="0" w:line="240" w:lineRule="auto"/>
              <w:jc w:val="center"/>
              <w:rPr>
                <w:rFonts w:ascii="Arial" w:hAnsi="Arial" w:cs="Arial"/>
                <w:b/>
                <w:bCs/>
                <w:sz w:val="20"/>
                <w:szCs w:val="20"/>
                <w:lang w:val="en-US"/>
              </w:rPr>
            </w:pPr>
            <w:r w:rsidRPr="00A51969">
              <w:rPr>
                <w:rFonts w:ascii="Arial" w:hAnsi="Arial" w:cs="Arial"/>
                <w:b/>
                <w:bCs/>
                <w:sz w:val="20"/>
                <w:szCs w:val="20"/>
              </w:rPr>
              <w:t>14:10–14:30</w:t>
            </w:r>
          </w:p>
        </w:tc>
        <w:tc>
          <w:tcPr>
            <w:tcW w:w="1701" w:type="dxa"/>
            <w:vAlign w:val="center"/>
          </w:tcPr>
          <w:p w14:paraId="2C8099A0" w14:textId="1D05CD10" w:rsidR="00A51969" w:rsidRPr="00082253" w:rsidRDefault="00A51969" w:rsidP="00A51969">
            <w:pPr>
              <w:spacing w:after="0" w:line="240" w:lineRule="auto"/>
              <w:jc w:val="center"/>
              <w:rPr>
                <w:rFonts w:ascii="Arial" w:hAnsi="Arial" w:cs="Arial"/>
                <w:sz w:val="20"/>
                <w:szCs w:val="20"/>
                <w:lang w:val="en-US"/>
              </w:rPr>
            </w:pPr>
            <w:r w:rsidRPr="00082253">
              <w:rPr>
                <w:rFonts w:ascii="Arial" w:hAnsi="Arial" w:cs="Arial"/>
                <w:color w:val="000000"/>
                <w:sz w:val="20"/>
                <w:szCs w:val="20"/>
              </w:rPr>
              <w:t>54</w:t>
            </w:r>
          </w:p>
        </w:tc>
        <w:tc>
          <w:tcPr>
            <w:tcW w:w="6339" w:type="dxa"/>
            <w:vAlign w:val="center"/>
          </w:tcPr>
          <w:p w14:paraId="5C925DF3" w14:textId="3704FAF2" w:rsidR="00A51969" w:rsidRPr="00082253" w:rsidRDefault="00A51969" w:rsidP="00A51969">
            <w:pPr>
              <w:spacing w:after="0" w:line="240" w:lineRule="auto"/>
              <w:jc w:val="center"/>
              <w:rPr>
                <w:rFonts w:ascii="Arial" w:hAnsi="Arial" w:cs="Arial"/>
                <w:sz w:val="20"/>
                <w:szCs w:val="20"/>
                <w:lang w:val="en-US"/>
              </w:rPr>
            </w:pPr>
            <w:r w:rsidRPr="00082253">
              <w:rPr>
                <w:rFonts w:ascii="Arial" w:hAnsi="Arial" w:cs="Arial"/>
                <w:color w:val="000000"/>
                <w:sz w:val="20"/>
                <w:szCs w:val="20"/>
              </w:rPr>
              <w:t>Dual-Guided Diffusion for Batik Pattern Synthesis</w:t>
            </w:r>
          </w:p>
        </w:tc>
      </w:tr>
      <w:tr w:rsidR="00A51969" w:rsidRPr="00E84230" w14:paraId="1228FA4D" w14:textId="77777777" w:rsidTr="00A51969">
        <w:trPr>
          <w:jc w:val="center"/>
        </w:trPr>
        <w:tc>
          <w:tcPr>
            <w:tcW w:w="1696" w:type="dxa"/>
            <w:vAlign w:val="center"/>
          </w:tcPr>
          <w:p w14:paraId="6D2183E1" w14:textId="0719AA45" w:rsidR="00A51969" w:rsidRPr="00A51969" w:rsidRDefault="00A51969" w:rsidP="00A51969">
            <w:pPr>
              <w:spacing w:after="0" w:line="240" w:lineRule="auto"/>
              <w:jc w:val="center"/>
              <w:rPr>
                <w:rFonts w:ascii="Arial" w:hAnsi="Arial" w:cs="Arial"/>
                <w:b/>
                <w:bCs/>
                <w:sz w:val="20"/>
                <w:szCs w:val="20"/>
                <w:lang w:val="en-US"/>
              </w:rPr>
            </w:pPr>
            <w:r w:rsidRPr="00A51969">
              <w:rPr>
                <w:rFonts w:ascii="Arial" w:hAnsi="Arial" w:cs="Arial"/>
                <w:b/>
                <w:bCs/>
                <w:sz w:val="20"/>
                <w:szCs w:val="20"/>
              </w:rPr>
              <w:t>14:30–14:50</w:t>
            </w:r>
          </w:p>
        </w:tc>
        <w:tc>
          <w:tcPr>
            <w:tcW w:w="1701" w:type="dxa"/>
            <w:vAlign w:val="center"/>
          </w:tcPr>
          <w:p w14:paraId="39CD329E" w14:textId="2A9EB53D" w:rsidR="00A51969" w:rsidRPr="00082253" w:rsidRDefault="00A51969" w:rsidP="00A51969">
            <w:pPr>
              <w:spacing w:after="0" w:line="240" w:lineRule="auto"/>
              <w:jc w:val="center"/>
              <w:rPr>
                <w:rFonts w:ascii="Arial" w:hAnsi="Arial" w:cs="Arial"/>
                <w:sz w:val="20"/>
                <w:szCs w:val="20"/>
                <w:lang w:val="en-US"/>
              </w:rPr>
            </w:pPr>
            <w:r w:rsidRPr="00082253">
              <w:rPr>
                <w:rFonts w:ascii="Arial" w:hAnsi="Arial" w:cs="Arial"/>
                <w:color w:val="000000"/>
                <w:sz w:val="20"/>
                <w:szCs w:val="20"/>
              </w:rPr>
              <w:t>58</w:t>
            </w:r>
          </w:p>
        </w:tc>
        <w:tc>
          <w:tcPr>
            <w:tcW w:w="6339" w:type="dxa"/>
            <w:vAlign w:val="center"/>
          </w:tcPr>
          <w:p w14:paraId="101BB630" w14:textId="628B19B7" w:rsidR="00A51969" w:rsidRPr="00082253" w:rsidRDefault="00A51969" w:rsidP="00A51969">
            <w:pPr>
              <w:spacing w:after="0" w:line="240" w:lineRule="auto"/>
              <w:jc w:val="center"/>
              <w:rPr>
                <w:rFonts w:ascii="Arial" w:hAnsi="Arial" w:cs="Arial"/>
                <w:sz w:val="20"/>
                <w:szCs w:val="20"/>
                <w:lang w:val="en-US"/>
              </w:rPr>
            </w:pPr>
            <w:r w:rsidRPr="00082253">
              <w:rPr>
                <w:rFonts w:ascii="Arial" w:hAnsi="Arial" w:cs="Arial"/>
                <w:color w:val="000000"/>
                <w:sz w:val="20"/>
                <w:szCs w:val="20"/>
              </w:rPr>
              <w:t>MLP-based GAN for Augmenting DNA Sequence Data in Dengue Shock Syndrome Detection</w:t>
            </w:r>
          </w:p>
        </w:tc>
      </w:tr>
      <w:tr w:rsidR="00A51969" w:rsidRPr="00E84230" w14:paraId="4FC8A6CE" w14:textId="77777777" w:rsidTr="00A51969">
        <w:trPr>
          <w:jc w:val="center"/>
        </w:trPr>
        <w:tc>
          <w:tcPr>
            <w:tcW w:w="1696" w:type="dxa"/>
            <w:vAlign w:val="center"/>
          </w:tcPr>
          <w:p w14:paraId="435E8958" w14:textId="3ACCD4D9" w:rsidR="00A51969" w:rsidRPr="00A51969" w:rsidRDefault="00A51969" w:rsidP="00A51969">
            <w:pPr>
              <w:spacing w:after="0" w:line="240" w:lineRule="auto"/>
              <w:jc w:val="center"/>
              <w:rPr>
                <w:rFonts w:ascii="Arial" w:hAnsi="Arial" w:cs="Arial"/>
                <w:b/>
                <w:bCs/>
                <w:sz w:val="20"/>
                <w:szCs w:val="20"/>
                <w:lang w:val="en-US"/>
              </w:rPr>
            </w:pPr>
            <w:r w:rsidRPr="00A51969">
              <w:rPr>
                <w:rFonts w:ascii="Arial" w:hAnsi="Arial" w:cs="Arial"/>
                <w:b/>
                <w:bCs/>
                <w:sz w:val="20"/>
                <w:szCs w:val="20"/>
              </w:rPr>
              <w:t>14:50–15:10</w:t>
            </w:r>
          </w:p>
        </w:tc>
        <w:tc>
          <w:tcPr>
            <w:tcW w:w="1701" w:type="dxa"/>
            <w:vAlign w:val="center"/>
          </w:tcPr>
          <w:p w14:paraId="1CC7CD29" w14:textId="2BCFBEB2" w:rsidR="00A51969" w:rsidRPr="00082253" w:rsidRDefault="00A51969" w:rsidP="00A51969">
            <w:pPr>
              <w:spacing w:after="0" w:line="240" w:lineRule="auto"/>
              <w:jc w:val="center"/>
              <w:rPr>
                <w:rFonts w:ascii="Arial" w:hAnsi="Arial" w:cs="Arial"/>
                <w:sz w:val="20"/>
                <w:szCs w:val="20"/>
                <w:lang w:val="en-US"/>
              </w:rPr>
            </w:pPr>
            <w:r w:rsidRPr="00082253">
              <w:rPr>
                <w:rFonts w:ascii="Arial" w:hAnsi="Arial" w:cs="Arial"/>
                <w:color w:val="000000"/>
                <w:sz w:val="20"/>
                <w:szCs w:val="20"/>
              </w:rPr>
              <w:t>62</w:t>
            </w:r>
          </w:p>
        </w:tc>
        <w:tc>
          <w:tcPr>
            <w:tcW w:w="6339" w:type="dxa"/>
            <w:vAlign w:val="center"/>
          </w:tcPr>
          <w:p w14:paraId="38166FB8" w14:textId="593B96A7" w:rsidR="00A51969" w:rsidRPr="00082253" w:rsidRDefault="00A51969" w:rsidP="00A51969">
            <w:pPr>
              <w:spacing w:after="0" w:line="240" w:lineRule="auto"/>
              <w:jc w:val="center"/>
              <w:rPr>
                <w:rFonts w:ascii="Arial" w:hAnsi="Arial" w:cs="Arial"/>
                <w:sz w:val="20"/>
                <w:szCs w:val="20"/>
                <w:lang w:val="en-US"/>
              </w:rPr>
            </w:pPr>
            <w:r w:rsidRPr="00082253">
              <w:rPr>
                <w:rFonts w:ascii="Arial" w:hAnsi="Arial" w:cs="Arial"/>
                <w:color w:val="000000"/>
                <w:sz w:val="20"/>
                <w:szCs w:val="20"/>
              </w:rPr>
              <w:t>Forensic Timbre Analysis of Anger-Induced Speech Variability Using Wavelet-Cepstral Features</w:t>
            </w:r>
          </w:p>
        </w:tc>
      </w:tr>
      <w:tr w:rsidR="00A51969" w:rsidRPr="00E84230" w14:paraId="5EBAA55D" w14:textId="77777777" w:rsidTr="00A51969">
        <w:trPr>
          <w:jc w:val="center"/>
        </w:trPr>
        <w:tc>
          <w:tcPr>
            <w:tcW w:w="1696" w:type="dxa"/>
            <w:vAlign w:val="center"/>
          </w:tcPr>
          <w:p w14:paraId="2520E710" w14:textId="457EF712" w:rsidR="00A51969" w:rsidRPr="00A51969" w:rsidRDefault="00A51969" w:rsidP="00A51969">
            <w:pPr>
              <w:spacing w:after="0" w:line="240" w:lineRule="auto"/>
              <w:jc w:val="center"/>
              <w:rPr>
                <w:rFonts w:ascii="Arial" w:hAnsi="Arial" w:cs="Arial"/>
                <w:b/>
                <w:bCs/>
                <w:sz w:val="20"/>
                <w:szCs w:val="20"/>
                <w:lang w:val="en-US"/>
              </w:rPr>
            </w:pPr>
            <w:r w:rsidRPr="00A51969">
              <w:rPr>
                <w:rFonts w:ascii="Arial" w:hAnsi="Arial" w:cs="Arial"/>
                <w:b/>
                <w:bCs/>
                <w:sz w:val="20"/>
                <w:szCs w:val="20"/>
              </w:rPr>
              <w:lastRenderedPageBreak/>
              <w:t>15:10–15:30</w:t>
            </w:r>
          </w:p>
        </w:tc>
        <w:tc>
          <w:tcPr>
            <w:tcW w:w="1701" w:type="dxa"/>
            <w:vAlign w:val="center"/>
          </w:tcPr>
          <w:p w14:paraId="7A4D2913" w14:textId="10448068" w:rsidR="00A51969" w:rsidRPr="00082253" w:rsidRDefault="00A51969" w:rsidP="00A51969">
            <w:pPr>
              <w:spacing w:after="0" w:line="240" w:lineRule="auto"/>
              <w:jc w:val="center"/>
              <w:rPr>
                <w:rFonts w:ascii="Arial" w:hAnsi="Arial" w:cs="Arial"/>
                <w:sz w:val="20"/>
                <w:szCs w:val="20"/>
                <w:lang w:val="en-US"/>
              </w:rPr>
            </w:pPr>
            <w:r w:rsidRPr="00082253">
              <w:rPr>
                <w:rFonts w:ascii="Arial" w:hAnsi="Arial" w:cs="Arial"/>
                <w:color w:val="000000"/>
                <w:sz w:val="20"/>
                <w:szCs w:val="20"/>
              </w:rPr>
              <w:t>69</w:t>
            </w:r>
          </w:p>
        </w:tc>
        <w:tc>
          <w:tcPr>
            <w:tcW w:w="6339" w:type="dxa"/>
            <w:vAlign w:val="center"/>
          </w:tcPr>
          <w:p w14:paraId="7D2DBD0D" w14:textId="03167124" w:rsidR="00A51969" w:rsidRPr="00082253" w:rsidRDefault="00A51969" w:rsidP="00A51969">
            <w:pPr>
              <w:spacing w:after="0" w:line="240" w:lineRule="auto"/>
              <w:jc w:val="center"/>
              <w:rPr>
                <w:rFonts w:ascii="Arial" w:hAnsi="Arial" w:cs="Arial"/>
                <w:sz w:val="20"/>
                <w:szCs w:val="20"/>
                <w:lang w:val="en-US"/>
              </w:rPr>
            </w:pPr>
            <w:r w:rsidRPr="00082253">
              <w:rPr>
                <w:rFonts w:ascii="Arial" w:hAnsi="Arial" w:cs="Arial"/>
                <w:color w:val="000000"/>
                <w:sz w:val="20"/>
                <w:szCs w:val="20"/>
              </w:rPr>
              <w:t>Resource-Efficient Edge AI for EMG-Based Bionic Prosthetic Hand Gesture Recognition Using a Lightweight CNN</w:t>
            </w:r>
          </w:p>
        </w:tc>
      </w:tr>
      <w:tr w:rsidR="00A51969" w:rsidRPr="00E84230" w14:paraId="0DABD743" w14:textId="77777777" w:rsidTr="00A51969">
        <w:trPr>
          <w:jc w:val="center"/>
        </w:trPr>
        <w:tc>
          <w:tcPr>
            <w:tcW w:w="1696" w:type="dxa"/>
            <w:vAlign w:val="center"/>
          </w:tcPr>
          <w:p w14:paraId="7E0046E1" w14:textId="54FBA141" w:rsidR="00A51969" w:rsidRPr="00A51969" w:rsidRDefault="00A51969" w:rsidP="00A51969">
            <w:pPr>
              <w:spacing w:after="0" w:line="240" w:lineRule="auto"/>
              <w:jc w:val="center"/>
              <w:rPr>
                <w:rFonts w:ascii="Arial" w:hAnsi="Arial" w:cs="Arial"/>
                <w:b/>
                <w:bCs/>
                <w:sz w:val="20"/>
                <w:szCs w:val="20"/>
                <w:lang w:val="en-US"/>
              </w:rPr>
            </w:pPr>
            <w:r w:rsidRPr="00A51969">
              <w:rPr>
                <w:rFonts w:ascii="Arial" w:hAnsi="Arial" w:cs="Arial"/>
                <w:b/>
                <w:bCs/>
                <w:sz w:val="20"/>
                <w:szCs w:val="20"/>
              </w:rPr>
              <w:t>15:30–15:50</w:t>
            </w:r>
          </w:p>
        </w:tc>
        <w:tc>
          <w:tcPr>
            <w:tcW w:w="1701" w:type="dxa"/>
            <w:vAlign w:val="center"/>
          </w:tcPr>
          <w:p w14:paraId="6BAC20FE" w14:textId="6A794AFA" w:rsidR="00A51969" w:rsidRPr="00082253" w:rsidRDefault="00A51969" w:rsidP="00A51969">
            <w:pPr>
              <w:spacing w:after="0" w:line="240" w:lineRule="auto"/>
              <w:jc w:val="center"/>
              <w:rPr>
                <w:rFonts w:ascii="Arial" w:hAnsi="Arial" w:cs="Arial"/>
                <w:sz w:val="20"/>
                <w:szCs w:val="20"/>
                <w:lang w:val="en-US"/>
              </w:rPr>
            </w:pPr>
            <w:r w:rsidRPr="00082253">
              <w:rPr>
                <w:rFonts w:ascii="Arial" w:hAnsi="Arial" w:cs="Arial"/>
                <w:color w:val="000000"/>
                <w:sz w:val="20"/>
                <w:szCs w:val="20"/>
              </w:rPr>
              <w:t>74</w:t>
            </w:r>
          </w:p>
        </w:tc>
        <w:tc>
          <w:tcPr>
            <w:tcW w:w="6339" w:type="dxa"/>
            <w:vAlign w:val="center"/>
          </w:tcPr>
          <w:p w14:paraId="457AA8D5" w14:textId="53911C5F" w:rsidR="00A51969" w:rsidRPr="00082253" w:rsidRDefault="00A51969" w:rsidP="00A51969">
            <w:pPr>
              <w:spacing w:after="0" w:line="240" w:lineRule="auto"/>
              <w:jc w:val="center"/>
              <w:rPr>
                <w:rFonts w:ascii="Arial" w:hAnsi="Arial" w:cs="Arial"/>
                <w:sz w:val="20"/>
                <w:szCs w:val="20"/>
                <w:lang w:val="en-US"/>
              </w:rPr>
            </w:pPr>
            <w:r w:rsidRPr="00082253">
              <w:rPr>
                <w:rFonts w:ascii="Arial" w:hAnsi="Arial" w:cs="Arial"/>
                <w:color w:val="000000"/>
                <w:sz w:val="20"/>
                <w:szCs w:val="20"/>
              </w:rPr>
              <w:t>Breath Sound Spectral Analysis for Respitory Disease Detection</w:t>
            </w:r>
          </w:p>
        </w:tc>
      </w:tr>
      <w:tr w:rsidR="00A51969" w:rsidRPr="00E84230" w14:paraId="5B90CEB2" w14:textId="77777777" w:rsidTr="00A51969">
        <w:trPr>
          <w:jc w:val="center"/>
        </w:trPr>
        <w:tc>
          <w:tcPr>
            <w:tcW w:w="1696" w:type="dxa"/>
            <w:vAlign w:val="center"/>
          </w:tcPr>
          <w:p w14:paraId="64591CDC" w14:textId="6BDDAFCB" w:rsidR="00A51969" w:rsidRPr="00A51969" w:rsidRDefault="00A51969" w:rsidP="00A51969">
            <w:pPr>
              <w:spacing w:after="0" w:line="240" w:lineRule="auto"/>
              <w:jc w:val="center"/>
              <w:rPr>
                <w:rFonts w:ascii="Arial" w:hAnsi="Arial" w:cs="Arial"/>
                <w:b/>
                <w:bCs/>
                <w:sz w:val="20"/>
                <w:szCs w:val="20"/>
                <w:lang w:val="en-US"/>
              </w:rPr>
            </w:pPr>
            <w:r w:rsidRPr="00A51969">
              <w:rPr>
                <w:rFonts w:ascii="Arial" w:hAnsi="Arial" w:cs="Arial"/>
                <w:b/>
                <w:bCs/>
                <w:sz w:val="20"/>
                <w:szCs w:val="20"/>
              </w:rPr>
              <w:t>15:50–16:10</w:t>
            </w:r>
          </w:p>
        </w:tc>
        <w:tc>
          <w:tcPr>
            <w:tcW w:w="1701" w:type="dxa"/>
            <w:vAlign w:val="center"/>
          </w:tcPr>
          <w:p w14:paraId="49B51750" w14:textId="1B1E1063" w:rsidR="00A51969" w:rsidRPr="00082253" w:rsidRDefault="00A51969" w:rsidP="00A51969">
            <w:pPr>
              <w:spacing w:after="0" w:line="240" w:lineRule="auto"/>
              <w:jc w:val="center"/>
              <w:rPr>
                <w:rFonts w:ascii="Arial" w:hAnsi="Arial" w:cs="Arial"/>
                <w:sz w:val="20"/>
                <w:szCs w:val="20"/>
                <w:lang w:val="en-US"/>
              </w:rPr>
            </w:pPr>
            <w:r w:rsidRPr="00082253">
              <w:rPr>
                <w:rFonts w:ascii="Arial" w:hAnsi="Arial" w:cs="Arial"/>
                <w:color w:val="000000"/>
                <w:sz w:val="20"/>
                <w:szCs w:val="20"/>
              </w:rPr>
              <w:t>78</w:t>
            </w:r>
          </w:p>
        </w:tc>
        <w:tc>
          <w:tcPr>
            <w:tcW w:w="6339" w:type="dxa"/>
            <w:vAlign w:val="center"/>
          </w:tcPr>
          <w:p w14:paraId="434C2769" w14:textId="7A997649" w:rsidR="00A51969" w:rsidRPr="00082253" w:rsidRDefault="00A51969" w:rsidP="00A51969">
            <w:pPr>
              <w:spacing w:after="0" w:line="240" w:lineRule="auto"/>
              <w:jc w:val="center"/>
              <w:rPr>
                <w:rFonts w:ascii="Arial" w:hAnsi="Arial" w:cs="Arial"/>
                <w:sz w:val="20"/>
                <w:szCs w:val="20"/>
                <w:lang w:val="en-US"/>
              </w:rPr>
            </w:pPr>
            <w:r w:rsidRPr="00082253">
              <w:rPr>
                <w:rFonts w:ascii="Arial" w:hAnsi="Arial" w:cs="Arial"/>
                <w:color w:val="000000"/>
                <w:sz w:val="20"/>
                <w:szCs w:val="20"/>
              </w:rPr>
              <w:t>Alzheimer's Classification Using Resnet50 Architecture with Ghost Weight Normalization</w:t>
            </w:r>
          </w:p>
        </w:tc>
      </w:tr>
      <w:tr w:rsidR="00A51969" w:rsidRPr="00E84230" w14:paraId="6543BC51" w14:textId="77777777" w:rsidTr="00A51969">
        <w:trPr>
          <w:jc w:val="center"/>
        </w:trPr>
        <w:tc>
          <w:tcPr>
            <w:tcW w:w="1696" w:type="dxa"/>
            <w:vAlign w:val="center"/>
          </w:tcPr>
          <w:p w14:paraId="61D5FBB7" w14:textId="543DAE83" w:rsidR="00A51969" w:rsidRPr="00A51969" w:rsidRDefault="00A51969" w:rsidP="00A51969">
            <w:pPr>
              <w:spacing w:after="0" w:line="240" w:lineRule="auto"/>
              <w:jc w:val="center"/>
              <w:rPr>
                <w:rFonts w:ascii="Arial" w:hAnsi="Arial" w:cs="Arial"/>
                <w:b/>
                <w:bCs/>
                <w:sz w:val="20"/>
                <w:szCs w:val="20"/>
                <w:lang w:val="en-US"/>
              </w:rPr>
            </w:pPr>
            <w:r w:rsidRPr="00A51969">
              <w:rPr>
                <w:rFonts w:ascii="Arial" w:hAnsi="Arial" w:cs="Arial"/>
                <w:b/>
                <w:bCs/>
                <w:sz w:val="20"/>
                <w:szCs w:val="20"/>
              </w:rPr>
              <w:t>16:10–16:30</w:t>
            </w:r>
          </w:p>
        </w:tc>
        <w:tc>
          <w:tcPr>
            <w:tcW w:w="1701" w:type="dxa"/>
            <w:vAlign w:val="center"/>
          </w:tcPr>
          <w:p w14:paraId="69268F51" w14:textId="637CC00B" w:rsidR="00A51969" w:rsidRPr="00082253" w:rsidRDefault="00A51969" w:rsidP="00A51969">
            <w:pPr>
              <w:spacing w:after="0" w:line="240" w:lineRule="auto"/>
              <w:jc w:val="center"/>
              <w:rPr>
                <w:rFonts w:ascii="Arial" w:hAnsi="Arial" w:cs="Arial"/>
                <w:color w:val="000000"/>
                <w:sz w:val="20"/>
                <w:szCs w:val="20"/>
              </w:rPr>
            </w:pPr>
            <w:r w:rsidRPr="00FF23B8">
              <w:rPr>
                <w:rFonts w:ascii="Arial" w:hAnsi="Arial" w:cs="Arial"/>
                <w:color w:val="000000"/>
                <w:sz w:val="20"/>
                <w:szCs w:val="20"/>
              </w:rPr>
              <w:t>84</w:t>
            </w:r>
          </w:p>
        </w:tc>
        <w:tc>
          <w:tcPr>
            <w:tcW w:w="6339" w:type="dxa"/>
            <w:vAlign w:val="center"/>
          </w:tcPr>
          <w:p w14:paraId="07550F97" w14:textId="03FCBA52" w:rsidR="00A51969" w:rsidRPr="00082253" w:rsidRDefault="00A51969" w:rsidP="00A51969">
            <w:pPr>
              <w:spacing w:after="0" w:line="240" w:lineRule="auto"/>
              <w:jc w:val="center"/>
              <w:rPr>
                <w:rFonts w:ascii="Arial" w:hAnsi="Arial" w:cs="Arial"/>
                <w:color w:val="000000"/>
                <w:sz w:val="20"/>
                <w:szCs w:val="20"/>
              </w:rPr>
            </w:pPr>
            <w:r w:rsidRPr="00FF23B8">
              <w:rPr>
                <w:rFonts w:ascii="Arial" w:hAnsi="Arial" w:cs="Arial"/>
                <w:color w:val="000000"/>
                <w:sz w:val="20"/>
                <w:szCs w:val="20"/>
              </w:rPr>
              <w:t>REST vs. GraphQL for High-Frequency ECG Data Delivery: An Empirical Benchmark in Healthcare IoT</w:t>
            </w:r>
          </w:p>
        </w:tc>
      </w:tr>
    </w:tbl>
    <w:p w14:paraId="3D573105" w14:textId="77777777" w:rsidR="001868D7" w:rsidRDefault="001868D7" w:rsidP="00482EC4">
      <w:pPr>
        <w:spacing w:after="0" w:line="240" w:lineRule="auto"/>
        <w:rPr>
          <w:rFonts w:ascii="Arial" w:hAnsi="Arial" w:cs="Arial"/>
          <w:b/>
          <w:bCs/>
          <w:sz w:val="20"/>
          <w:szCs w:val="20"/>
          <w:lang w:val="en-US"/>
        </w:rPr>
      </w:pPr>
    </w:p>
    <w:p w14:paraId="0AC29477" w14:textId="77777777" w:rsidR="001868D7" w:rsidRDefault="001868D7" w:rsidP="00A51969">
      <w:pPr>
        <w:spacing w:after="0" w:line="240" w:lineRule="auto"/>
        <w:jc w:val="center"/>
        <w:rPr>
          <w:rFonts w:ascii="Arial" w:hAnsi="Arial" w:cs="Arial"/>
          <w:b/>
          <w:bCs/>
          <w:sz w:val="20"/>
          <w:szCs w:val="20"/>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701"/>
        <w:gridCol w:w="6339"/>
      </w:tblGrid>
      <w:tr w:rsidR="00810AC1" w:rsidRPr="00AE1338" w14:paraId="29898056" w14:textId="77777777" w:rsidTr="007C6E48">
        <w:trPr>
          <w:jc w:val="center"/>
        </w:trPr>
        <w:tc>
          <w:tcPr>
            <w:tcW w:w="0" w:type="auto"/>
            <w:gridSpan w:val="3"/>
            <w:vAlign w:val="center"/>
          </w:tcPr>
          <w:p w14:paraId="1A9A14E0" w14:textId="77777777" w:rsidR="00042C2F" w:rsidRPr="00AE1338" w:rsidRDefault="00042C2F" w:rsidP="00A51969">
            <w:pPr>
              <w:spacing w:after="0" w:line="240" w:lineRule="auto"/>
              <w:jc w:val="right"/>
              <w:rPr>
                <w:rFonts w:ascii="Arial" w:hAnsi="Arial" w:cs="Arial"/>
                <w:b/>
                <w:bCs/>
                <w:sz w:val="20"/>
                <w:szCs w:val="20"/>
                <w:lang w:val="en-US"/>
              </w:rPr>
            </w:pPr>
            <w:r>
              <w:rPr>
                <w:rFonts w:ascii="Arial" w:hAnsi="Arial" w:cs="Arial"/>
                <w:b/>
                <w:bCs/>
                <w:sz w:val="20"/>
                <w:szCs w:val="20"/>
                <w:lang w:val="en-US"/>
              </w:rPr>
              <w:t>19</w:t>
            </w:r>
            <w:r w:rsidRPr="00AE1338">
              <w:rPr>
                <w:rFonts w:ascii="Arial" w:hAnsi="Arial" w:cs="Arial"/>
                <w:b/>
                <w:bCs/>
                <w:sz w:val="20"/>
                <w:szCs w:val="20"/>
                <w:vertAlign w:val="superscript"/>
                <w:lang w:val="en-US"/>
              </w:rPr>
              <w:t>th</w:t>
            </w:r>
            <w:r w:rsidRPr="00AE1338">
              <w:rPr>
                <w:rFonts w:ascii="Arial" w:hAnsi="Arial" w:cs="Arial"/>
                <w:b/>
                <w:bCs/>
                <w:sz w:val="20"/>
                <w:szCs w:val="20"/>
                <w:lang w:val="en-US"/>
              </w:rPr>
              <w:t xml:space="preserve"> August 2025</w:t>
            </w:r>
          </w:p>
          <w:p w14:paraId="018D60CF" w14:textId="54AA2F46" w:rsidR="00810AC1" w:rsidRPr="00AE1338" w:rsidRDefault="00971246" w:rsidP="00A51969">
            <w:pPr>
              <w:spacing w:after="0" w:line="240" w:lineRule="auto"/>
              <w:jc w:val="center"/>
              <w:rPr>
                <w:rFonts w:ascii="Arial" w:hAnsi="Arial" w:cs="Arial"/>
                <w:b/>
                <w:bCs/>
                <w:sz w:val="20"/>
                <w:szCs w:val="20"/>
                <w:lang w:val="en-US"/>
              </w:rPr>
            </w:pPr>
            <w:r>
              <w:rPr>
                <w:rFonts w:ascii="Arial" w:hAnsi="Arial" w:cs="Arial"/>
                <w:b/>
                <w:bCs/>
                <w:sz w:val="20"/>
                <w:szCs w:val="20"/>
                <w:lang w:val="en-US"/>
              </w:rPr>
              <w:t xml:space="preserve">Parallel Session </w:t>
            </w:r>
            <w:r w:rsidR="0029157C">
              <w:rPr>
                <w:rFonts w:ascii="Arial" w:hAnsi="Arial" w:cs="Arial"/>
                <w:b/>
                <w:bCs/>
                <w:sz w:val="20"/>
                <w:szCs w:val="20"/>
                <w:lang w:val="en-US"/>
              </w:rPr>
              <w:t>B</w:t>
            </w:r>
          </w:p>
          <w:p w14:paraId="3097C74A" w14:textId="26CCFAB4" w:rsidR="00042C2F" w:rsidRPr="00AE1338" w:rsidRDefault="00042C2F" w:rsidP="00A51969">
            <w:pPr>
              <w:spacing w:after="0" w:line="240" w:lineRule="auto"/>
              <w:rPr>
                <w:rFonts w:ascii="Arial" w:hAnsi="Arial" w:cs="Arial"/>
                <w:b/>
                <w:bCs/>
                <w:sz w:val="20"/>
                <w:szCs w:val="20"/>
                <w:lang w:val="en-US"/>
              </w:rPr>
            </w:pPr>
            <w:r w:rsidRPr="00AE1338">
              <w:rPr>
                <w:rFonts w:ascii="Arial" w:hAnsi="Arial" w:cs="Arial"/>
                <w:b/>
                <w:bCs/>
                <w:sz w:val="20"/>
                <w:szCs w:val="20"/>
                <w:lang w:val="en-US"/>
              </w:rPr>
              <w:t>Session Chair:</w:t>
            </w:r>
            <w:r>
              <w:rPr>
                <w:rFonts w:ascii="Arial" w:hAnsi="Arial" w:cs="Arial"/>
                <w:b/>
                <w:bCs/>
                <w:sz w:val="20"/>
                <w:szCs w:val="20"/>
                <w:lang w:val="en-US"/>
              </w:rPr>
              <w:t xml:space="preserve"> </w:t>
            </w:r>
            <w:r w:rsidR="00236A06">
              <w:rPr>
                <w:rFonts w:ascii="Arial" w:hAnsi="Arial" w:cs="Arial"/>
                <w:b/>
                <w:bCs/>
                <w:sz w:val="20"/>
                <w:szCs w:val="20"/>
                <w:lang w:val="en-US"/>
              </w:rPr>
              <w:t>Edita Rosana Widasari ST</w:t>
            </w:r>
            <w:r w:rsidR="00156DAC">
              <w:rPr>
                <w:rFonts w:ascii="Arial" w:hAnsi="Arial" w:cs="Arial"/>
                <w:b/>
                <w:bCs/>
                <w:sz w:val="20"/>
                <w:szCs w:val="20"/>
                <w:lang w:val="en-US"/>
              </w:rPr>
              <w:t xml:space="preserve">, MT, </w:t>
            </w:r>
            <w:r w:rsidR="00F751F7">
              <w:rPr>
                <w:rFonts w:ascii="Arial" w:hAnsi="Arial" w:cs="Arial"/>
                <w:b/>
                <w:bCs/>
                <w:sz w:val="20"/>
                <w:szCs w:val="20"/>
                <w:lang w:val="en-US"/>
              </w:rPr>
              <w:t>Ph. D</w:t>
            </w:r>
            <w:r w:rsidR="009727FD">
              <w:rPr>
                <w:rFonts w:ascii="Arial" w:hAnsi="Arial" w:cs="Arial"/>
                <w:b/>
                <w:bCs/>
                <w:sz w:val="20"/>
                <w:szCs w:val="20"/>
                <w:lang w:val="en-US"/>
              </w:rPr>
              <w:t>/Ir</w:t>
            </w:r>
            <w:r w:rsidR="00F751F7">
              <w:rPr>
                <w:rFonts w:ascii="Arial" w:hAnsi="Arial" w:cs="Arial"/>
                <w:b/>
                <w:bCs/>
                <w:sz w:val="20"/>
                <w:szCs w:val="20"/>
                <w:lang w:val="en-US"/>
              </w:rPr>
              <w:t>. Indriati ST. M. Kom</w:t>
            </w:r>
          </w:p>
          <w:p w14:paraId="2F4FF57D" w14:textId="32D0C307" w:rsidR="00810AC1" w:rsidRPr="00AE1338" w:rsidRDefault="00042C2F" w:rsidP="00A51969">
            <w:pPr>
              <w:spacing w:after="0" w:line="240" w:lineRule="auto"/>
              <w:rPr>
                <w:rFonts w:ascii="Arial" w:hAnsi="Arial" w:cs="Arial"/>
                <w:b/>
                <w:bCs/>
                <w:sz w:val="20"/>
                <w:szCs w:val="20"/>
                <w:lang w:val="en-US"/>
              </w:rPr>
            </w:pPr>
            <w:r w:rsidRPr="00AE1338">
              <w:rPr>
                <w:rFonts w:ascii="Arial" w:hAnsi="Arial" w:cs="Arial"/>
                <w:b/>
                <w:bCs/>
                <w:sz w:val="20"/>
                <w:szCs w:val="20"/>
                <w:lang w:val="en-US"/>
              </w:rPr>
              <w:t xml:space="preserve">Location: </w:t>
            </w:r>
            <w:r w:rsidR="00C81802" w:rsidRPr="00C81802">
              <w:rPr>
                <w:rFonts w:ascii="Arial" w:hAnsi="Arial" w:cs="Arial"/>
                <w:b/>
                <w:bCs/>
                <w:sz w:val="20"/>
                <w:szCs w:val="20"/>
                <w:lang w:val="en-US"/>
              </w:rPr>
              <w:t>“Ötüken Conference Hall”</w:t>
            </w:r>
          </w:p>
        </w:tc>
      </w:tr>
      <w:tr w:rsidR="006614F8" w:rsidRPr="00AE1338" w14:paraId="3A55A58E" w14:textId="77777777" w:rsidTr="007C6E48">
        <w:trPr>
          <w:jc w:val="center"/>
        </w:trPr>
        <w:tc>
          <w:tcPr>
            <w:tcW w:w="1696" w:type="dxa"/>
            <w:vAlign w:val="center"/>
          </w:tcPr>
          <w:p w14:paraId="1B0D1CC1" w14:textId="77777777" w:rsidR="006614F8" w:rsidRPr="00AE1338" w:rsidRDefault="006614F8" w:rsidP="00A51969">
            <w:pPr>
              <w:spacing w:after="0" w:line="240" w:lineRule="auto"/>
              <w:jc w:val="center"/>
              <w:rPr>
                <w:rFonts w:ascii="Arial" w:hAnsi="Arial" w:cs="Arial"/>
                <w:b/>
                <w:bCs/>
                <w:sz w:val="20"/>
                <w:szCs w:val="20"/>
                <w:lang w:val="en-US"/>
              </w:rPr>
            </w:pPr>
            <w:r>
              <w:rPr>
                <w:rFonts w:ascii="Arial" w:hAnsi="Arial" w:cs="Arial"/>
                <w:b/>
                <w:bCs/>
                <w:sz w:val="20"/>
                <w:szCs w:val="20"/>
                <w:lang w:val="en-US"/>
              </w:rPr>
              <w:t>Time (Istanbul Turkiye)</w:t>
            </w:r>
          </w:p>
        </w:tc>
        <w:tc>
          <w:tcPr>
            <w:tcW w:w="1701" w:type="dxa"/>
            <w:vAlign w:val="center"/>
          </w:tcPr>
          <w:p w14:paraId="6114C81A" w14:textId="223D89D3" w:rsidR="006614F8" w:rsidRPr="00AE1338" w:rsidRDefault="006614F8" w:rsidP="00A51969">
            <w:pPr>
              <w:spacing w:after="0" w:line="240" w:lineRule="auto"/>
              <w:jc w:val="center"/>
              <w:rPr>
                <w:rFonts w:ascii="Arial" w:hAnsi="Arial" w:cs="Arial"/>
                <w:b/>
                <w:bCs/>
                <w:sz w:val="20"/>
                <w:szCs w:val="20"/>
                <w:lang w:val="en-US"/>
              </w:rPr>
            </w:pPr>
            <w:r w:rsidRPr="00E84230">
              <w:rPr>
                <w:rFonts w:ascii="Arial" w:hAnsi="Arial" w:cs="Arial"/>
                <w:b/>
                <w:bCs/>
                <w:sz w:val="20"/>
                <w:szCs w:val="20"/>
                <w:lang w:val="en-US"/>
              </w:rPr>
              <w:t xml:space="preserve">Paper </w:t>
            </w:r>
            <w:r>
              <w:rPr>
                <w:rFonts w:ascii="Arial" w:hAnsi="Arial" w:cs="Arial"/>
                <w:b/>
                <w:bCs/>
                <w:sz w:val="20"/>
                <w:szCs w:val="20"/>
                <w:lang w:val="en-US"/>
              </w:rPr>
              <w:t>ID</w:t>
            </w:r>
          </w:p>
        </w:tc>
        <w:tc>
          <w:tcPr>
            <w:tcW w:w="6339" w:type="dxa"/>
            <w:vAlign w:val="center"/>
          </w:tcPr>
          <w:p w14:paraId="754D878A" w14:textId="186DC067" w:rsidR="006614F8" w:rsidRPr="00AE1338" w:rsidRDefault="006614F8" w:rsidP="00A51969">
            <w:pPr>
              <w:spacing w:after="0" w:line="240" w:lineRule="auto"/>
              <w:jc w:val="center"/>
              <w:rPr>
                <w:rFonts w:ascii="Arial" w:hAnsi="Arial" w:cs="Arial"/>
                <w:b/>
                <w:bCs/>
                <w:sz w:val="20"/>
                <w:szCs w:val="20"/>
                <w:lang w:val="en-US"/>
              </w:rPr>
            </w:pPr>
            <w:r w:rsidRPr="00E84230">
              <w:rPr>
                <w:rFonts w:ascii="Arial" w:hAnsi="Arial" w:cs="Arial"/>
                <w:b/>
                <w:bCs/>
                <w:sz w:val="20"/>
                <w:szCs w:val="20"/>
                <w:lang w:val="en-US"/>
              </w:rPr>
              <w:t>Paper</w:t>
            </w:r>
            <w:r>
              <w:rPr>
                <w:rFonts w:ascii="Arial" w:hAnsi="Arial" w:cs="Arial"/>
                <w:b/>
                <w:bCs/>
                <w:sz w:val="20"/>
                <w:szCs w:val="20"/>
                <w:lang w:val="en-US"/>
              </w:rPr>
              <w:t xml:space="preserve"> Title</w:t>
            </w:r>
          </w:p>
        </w:tc>
      </w:tr>
      <w:tr w:rsidR="00A51969" w:rsidRPr="00AE1338" w14:paraId="511085B3" w14:textId="77777777" w:rsidTr="00FF23B8">
        <w:trPr>
          <w:jc w:val="center"/>
        </w:trPr>
        <w:tc>
          <w:tcPr>
            <w:tcW w:w="1696" w:type="dxa"/>
            <w:vAlign w:val="center"/>
          </w:tcPr>
          <w:p w14:paraId="02BD0C23" w14:textId="66EFABB3" w:rsidR="00A51969" w:rsidRDefault="00A51969" w:rsidP="00A51969">
            <w:pPr>
              <w:spacing w:after="0" w:line="240" w:lineRule="auto"/>
              <w:jc w:val="center"/>
              <w:rPr>
                <w:rFonts w:ascii="Arial" w:hAnsi="Arial" w:cs="Arial"/>
                <w:b/>
                <w:bCs/>
                <w:sz w:val="20"/>
                <w:szCs w:val="20"/>
                <w:lang w:val="en-US"/>
              </w:rPr>
            </w:pPr>
            <w:r w:rsidRPr="00A51969">
              <w:rPr>
                <w:rFonts w:ascii="Arial" w:hAnsi="Arial" w:cs="Arial"/>
                <w:b/>
                <w:bCs/>
                <w:sz w:val="20"/>
                <w:szCs w:val="20"/>
              </w:rPr>
              <w:t>13:30–13:50</w:t>
            </w:r>
          </w:p>
        </w:tc>
        <w:tc>
          <w:tcPr>
            <w:tcW w:w="1701" w:type="dxa"/>
            <w:vAlign w:val="center"/>
          </w:tcPr>
          <w:p w14:paraId="29873C22" w14:textId="2F2549E1" w:rsidR="00A51969" w:rsidRPr="00FF23B8" w:rsidRDefault="00A51969" w:rsidP="00A51969">
            <w:pPr>
              <w:spacing w:after="0" w:line="240" w:lineRule="auto"/>
              <w:jc w:val="center"/>
              <w:rPr>
                <w:rFonts w:ascii="Arial" w:hAnsi="Arial" w:cs="Arial"/>
                <w:sz w:val="20"/>
                <w:szCs w:val="20"/>
                <w:lang w:val="en-US"/>
              </w:rPr>
            </w:pPr>
            <w:r w:rsidRPr="00FF23B8">
              <w:rPr>
                <w:rFonts w:ascii="Arial" w:hAnsi="Arial" w:cs="Arial"/>
                <w:color w:val="000000"/>
                <w:sz w:val="20"/>
                <w:szCs w:val="20"/>
              </w:rPr>
              <w:t>92</w:t>
            </w:r>
          </w:p>
        </w:tc>
        <w:tc>
          <w:tcPr>
            <w:tcW w:w="6339" w:type="dxa"/>
            <w:vAlign w:val="center"/>
          </w:tcPr>
          <w:p w14:paraId="441ABEA4" w14:textId="66BC1D91" w:rsidR="00A51969" w:rsidRPr="00FF23B8" w:rsidRDefault="00A51969" w:rsidP="00A51969">
            <w:pPr>
              <w:spacing w:after="0" w:line="240" w:lineRule="auto"/>
              <w:jc w:val="center"/>
              <w:rPr>
                <w:rFonts w:ascii="Arial" w:hAnsi="Arial" w:cs="Arial"/>
                <w:sz w:val="20"/>
                <w:szCs w:val="20"/>
                <w:lang w:val="en-US"/>
              </w:rPr>
            </w:pPr>
            <w:r w:rsidRPr="00FF23B8">
              <w:rPr>
                <w:rFonts w:ascii="Arial" w:hAnsi="Arial" w:cs="Arial"/>
                <w:color w:val="000000"/>
                <w:sz w:val="20"/>
                <w:szCs w:val="20"/>
              </w:rPr>
              <w:t>Operationalizing the AmbiTRUS framework in User Story Ambiguity Analysis</w:t>
            </w:r>
          </w:p>
        </w:tc>
      </w:tr>
      <w:tr w:rsidR="00A51969" w:rsidRPr="00AE1338" w14:paraId="04C5184E" w14:textId="77777777" w:rsidTr="00FF23B8">
        <w:trPr>
          <w:jc w:val="center"/>
        </w:trPr>
        <w:tc>
          <w:tcPr>
            <w:tcW w:w="1696" w:type="dxa"/>
            <w:vAlign w:val="center"/>
          </w:tcPr>
          <w:p w14:paraId="20FAC0AA" w14:textId="1EDF79D3" w:rsidR="00A51969" w:rsidRPr="00AE1338" w:rsidRDefault="00A51969" w:rsidP="00A51969">
            <w:pPr>
              <w:spacing w:after="0" w:line="240" w:lineRule="auto"/>
              <w:jc w:val="center"/>
              <w:rPr>
                <w:rFonts w:ascii="Arial" w:hAnsi="Arial" w:cs="Arial"/>
                <w:b/>
                <w:bCs/>
                <w:sz w:val="20"/>
                <w:szCs w:val="20"/>
                <w:lang w:val="en-US"/>
              </w:rPr>
            </w:pPr>
            <w:r w:rsidRPr="00A51969">
              <w:rPr>
                <w:rFonts w:ascii="Arial" w:hAnsi="Arial" w:cs="Arial"/>
                <w:b/>
                <w:bCs/>
                <w:sz w:val="20"/>
                <w:szCs w:val="20"/>
              </w:rPr>
              <w:t>1</w:t>
            </w:r>
            <w:r w:rsidR="00482EC4">
              <w:rPr>
                <w:rFonts w:ascii="Arial" w:hAnsi="Arial" w:cs="Arial"/>
                <w:b/>
                <w:bCs/>
                <w:sz w:val="20"/>
                <w:szCs w:val="20"/>
              </w:rPr>
              <w:t>3</w:t>
            </w:r>
            <w:r w:rsidRPr="00A51969">
              <w:rPr>
                <w:rFonts w:ascii="Arial" w:hAnsi="Arial" w:cs="Arial"/>
                <w:b/>
                <w:bCs/>
                <w:sz w:val="20"/>
                <w:szCs w:val="20"/>
              </w:rPr>
              <w:t>:</w:t>
            </w:r>
            <w:r w:rsidR="00482EC4">
              <w:rPr>
                <w:rFonts w:ascii="Arial" w:hAnsi="Arial" w:cs="Arial"/>
                <w:b/>
                <w:bCs/>
                <w:sz w:val="20"/>
                <w:szCs w:val="20"/>
              </w:rPr>
              <w:t>50</w:t>
            </w:r>
            <w:r w:rsidRPr="00A51969">
              <w:rPr>
                <w:rFonts w:ascii="Arial" w:hAnsi="Arial" w:cs="Arial"/>
                <w:b/>
                <w:bCs/>
                <w:sz w:val="20"/>
                <w:szCs w:val="20"/>
              </w:rPr>
              <w:t>–14:</w:t>
            </w:r>
            <w:r w:rsidR="00482EC4">
              <w:rPr>
                <w:rFonts w:ascii="Arial" w:hAnsi="Arial" w:cs="Arial"/>
                <w:b/>
                <w:bCs/>
                <w:sz w:val="20"/>
                <w:szCs w:val="20"/>
              </w:rPr>
              <w:t>10</w:t>
            </w:r>
          </w:p>
        </w:tc>
        <w:tc>
          <w:tcPr>
            <w:tcW w:w="1701" w:type="dxa"/>
            <w:vAlign w:val="center"/>
          </w:tcPr>
          <w:p w14:paraId="4EBDF5ED" w14:textId="7BF4A29F" w:rsidR="00A51969" w:rsidRPr="00FF23B8" w:rsidRDefault="00A51969" w:rsidP="00A51969">
            <w:pPr>
              <w:spacing w:after="0" w:line="240" w:lineRule="auto"/>
              <w:jc w:val="center"/>
              <w:rPr>
                <w:rFonts w:ascii="Arial" w:hAnsi="Arial" w:cs="Arial"/>
                <w:sz w:val="20"/>
                <w:szCs w:val="20"/>
                <w:lang w:val="en-US"/>
              </w:rPr>
            </w:pPr>
            <w:r w:rsidRPr="00FF23B8">
              <w:rPr>
                <w:rFonts w:ascii="Arial" w:hAnsi="Arial" w:cs="Arial"/>
                <w:color w:val="000000"/>
                <w:sz w:val="20"/>
                <w:szCs w:val="20"/>
              </w:rPr>
              <w:t>157</w:t>
            </w:r>
          </w:p>
        </w:tc>
        <w:tc>
          <w:tcPr>
            <w:tcW w:w="6339" w:type="dxa"/>
            <w:vAlign w:val="center"/>
          </w:tcPr>
          <w:p w14:paraId="68905977" w14:textId="730FAEDC" w:rsidR="00A51969" w:rsidRPr="00FF23B8" w:rsidRDefault="00A51969" w:rsidP="00A51969">
            <w:pPr>
              <w:spacing w:after="0" w:line="240" w:lineRule="auto"/>
              <w:jc w:val="center"/>
              <w:rPr>
                <w:rFonts w:ascii="Arial" w:hAnsi="Arial" w:cs="Arial"/>
                <w:sz w:val="20"/>
                <w:szCs w:val="20"/>
                <w:lang w:val="en-US"/>
              </w:rPr>
            </w:pPr>
            <w:r w:rsidRPr="00FF23B8">
              <w:rPr>
                <w:rFonts w:ascii="Arial" w:hAnsi="Arial" w:cs="Arial"/>
                <w:color w:val="000000"/>
                <w:sz w:val="20"/>
                <w:szCs w:val="20"/>
              </w:rPr>
              <w:t>The Summary Trap: AI-Generated News Summaries, Context Compression, and Public Trust in Intelligent Information Systems</w:t>
            </w:r>
          </w:p>
        </w:tc>
      </w:tr>
      <w:tr w:rsidR="00A51969" w:rsidRPr="00AE1338" w14:paraId="02B30507" w14:textId="77777777" w:rsidTr="00FF23B8">
        <w:trPr>
          <w:jc w:val="center"/>
        </w:trPr>
        <w:tc>
          <w:tcPr>
            <w:tcW w:w="1696" w:type="dxa"/>
            <w:vAlign w:val="center"/>
          </w:tcPr>
          <w:p w14:paraId="1842154C" w14:textId="62A19962" w:rsidR="00A51969" w:rsidRPr="00AE1338" w:rsidRDefault="00A51969" w:rsidP="00A51969">
            <w:pPr>
              <w:spacing w:after="0" w:line="240" w:lineRule="auto"/>
              <w:jc w:val="center"/>
              <w:rPr>
                <w:rFonts w:ascii="Arial" w:hAnsi="Arial" w:cs="Arial"/>
                <w:b/>
                <w:bCs/>
                <w:sz w:val="20"/>
                <w:szCs w:val="20"/>
                <w:lang w:val="en-US"/>
              </w:rPr>
            </w:pPr>
            <w:r w:rsidRPr="00A51969">
              <w:rPr>
                <w:rFonts w:ascii="Arial" w:hAnsi="Arial" w:cs="Arial"/>
                <w:b/>
                <w:bCs/>
                <w:sz w:val="20"/>
                <w:szCs w:val="20"/>
              </w:rPr>
              <w:t>14:</w:t>
            </w:r>
            <w:r w:rsidR="00482EC4">
              <w:rPr>
                <w:rFonts w:ascii="Arial" w:hAnsi="Arial" w:cs="Arial"/>
                <w:b/>
                <w:bCs/>
                <w:sz w:val="20"/>
                <w:szCs w:val="20"/>
              </w:rPr>
              <w:t>10</w:t>
            </w:r>
            <w:r w:rsidRPr="00A51969">
              <w:rPr>
                <w:rFonts w:ascii="Arial" w:hAnsi="Arial" w:cs="Arial"/>
                <w:b/>
                <w:bCs/>
                <w:sz w:val="20"/>
                <w:szCs w:val="20"/>
              </w:rPr>
              <w:t>–14:</w:t>
            </w:r>
            <w:r w:rsidR="00482EC4">
              <w:rPr>
                <w:rFonts w:ascii="Arial" w:hAnsi="Arial" w:cs="Arial"/>
                <w:b/>
                <w:bCs/>
                <w:sz w:val="20"/>
                <w:szCs w:val="20"/>
              </w:rPr>
              <w:t>30</w:t>
            </w:r>
          </w:p>
        </w:tc>
        <w:tc>
          <w:tcPr>
            <w:tcW w:w="1701" w:type="dxa"/>
            <w:vAlign w:val="center"/>
          </w:tcPr>
          <w:p w14:paraId="3A37B77D" w14:textId="3BB42CED" w:rsidR="00A51969" w:rsidRPr="00FF23B8" w:rsidRDefault="00A51969" w:rsidP="00A51969">
            <w:pPr>
              <w:spacing w:after="0" w:line="240" w:lineRule="auto"/>
              <w:jc w:val="center"/>
              <w:rPr>
                <w:rFonts w:ascii="Arial" w:hAnsi="Arial" w:cs="Arial"/>
                <w:sz w:val="20"/>
                <w:szCs w:val="20"/>
                <w:lang w:val="en-US"/>
              </w:rPr>
            </w:pPr>
            <w:r w:rsidRPr="00FF23B8">
              <w:rPr>
                <w:rFonts w:ascii="Arial" w:hAnsi="Arial" w:cs="Arial"/>
                <w:color w:val="000000"/>
                <w:sz w:val="20"/>
                <w:szCs w:val="20"/>
              </w:rPr>
              <w:t>167</w:t>
            </w:r>
          </w:p>
        </w:tc>
        <w:tc>
          <w:tcPr>
            <w:tcW w:w="6339" w:type="dxa"/>
            <w:vAlign w:val="center"/>
          </w:tcPr>
          <w:p w14:paraId="0686F6B4" w14:textId="0A2C5572" w:rsidR="00A51969" w:rsidRPr="00FF23B8" w:rsidRDefault="00A51969" w:rsidP="00A51969">
            <w:pPr>
              <w:spacing w:after="0" w:line="240" w:lineRule="auto"/>
              <w:jc w:val="center"/>
              <w:rPr>
                <w:rFonts w:ascii="Arial" w:hAnsi="Arial" w:cs="Arial"/>
                <w:sz w:val="20"/>
                <w:szCs w:val="20"/>
                <w:lang w:val="en-US"/>
              </w:rPr>
            </w:pPr>
            <w:r w:rsidRPr="00FF23B8">
              <w:rPr>
                <w:rFonts w:ascii="Arial" w:hAnsi="Arial" w:cs="Arial"/>
                <w:color w:val="000000"/>
                <w:sz w:val="20"/>
                <w:szCs w:val="20"/>
              </w:rPr>
              <w:t>Mobile Application for Coordinating Informal Collaboration in Collective Qur’an Recitation Completion Practices</w:t>
            </w:r>
          </w:p>
        </w:tc>
      </w:tr>
      <w:tr w:rsidR="00A51969" w:rsidRPr="00AE1338" w14:paraId="77105987" w14:textId="77777777" w:rsidTr="00FF23B8">
        <w:trPr>
          <w:jc w:val="center"/>
        </w:trPr>
        <w:tc>
          <w:tcPr>
            <w:tcW w:w="1696" w:type="dxa"/>
            <w:vAlign w:val="center"/>
          </w:tcPr>
          <w:p w14:paraId="28D48269" w14:textId="32B2D06A" w:rsidR="00A51969" w:rsidRPr="00AE1338" w:rsidRDefault="00A51969" w:rsidP="00A51969">
            <w:pPr>
              <w:spacing w:after="0" w:line="240" w:lineRule="auto"/>
              <w:jc w:val="center"/>
              <w:rPr>
                <w:rFonts w:ascii="Arial" w:hAnsi="Arial" w:cs="Arial"/>
                <w:b/>
                <w:bCs/>
                <w:sz w:val="20"/>
                <w:szCs w:val="20"/>
                <w:lang w:val="en-US"/>
              </w:rPr>
            </w:pPr>
            <w:r w:rsidRPr="00A51969">
              <w:rPr>
                <w:rFonts w:ascii="Arial" w:hAnsi="Arial" w:cs="Arial"/>
                <w:b/>
                <w:bCs/>
                <w:sz w:val="20"/>
                <w:szCs w:val="20"/>
              </w:rPr>
              <w:t>14:</w:t>
            </w:r>
            <w:r w:rsidR="00482EC4">
              <w:rPr>
                <w:rFonts w:ascii="Arial" w:hAnsi="Arial" w:cs="Arial"/>
                <w:b/>
                <w:bCs/>
                <w:sz w:val="20"/>
                <w:szCs w:val="20"/>
              </w:rPr>
              <w:t>3</w:t>
            </w:r>
            <w:r w:rsidRPr="00A51969">
              <w:rPr>
                <w:rFonts w:ascii="Arial" w:hAnsi="Arial" w:cs="Arial"/>
                <w:b/>
                <w:bCs/>
                <w:sz w:val="20"/>
                <w:szCs w:val="20"/>
              </w:rPr>
              <w:t>0–1</w:t>
            </w:r>
            <w:r w:rsidR="00482EC4">
              <w:rPr>
                <w:rFonts w:ascii="Arial" w:hAnsi="Arial" w:cs="Arial"/>
                <w:b/>
                <w:bCs/>
                <w:sz w:val="20"/>
                <w:szCs w:val="20"/>
              </w:rPr>
              <w:t>4</w:t>
            </w:r>
            <w:r w:rsidRPr="00A51969">
              <w:rPr>
                <w:rFonts w:ascii="Arial" w:hAnsi="Arial" w:cs="Arial"/>
                <w:b/>
                <w:bCs/>
                <w:sz w:val="20"/>
                <w:szCs w:val="20"/>
              </w:rPr>
              <w:t>:</w:t>
            </w:r>
            <w:r w:rsidR="00482EC4">
              <w:rPr>
                <w:rFonts w:ascii="Arial" w:hAnsi="Arial" w:cs="Arial"/>
                <w:b/>
                <w:bCs/>
                <w:sz w:val="20"/>
                <w:szCs w:val="20"/>
              </w:rPr>
              <w:t>50</w:t>
            </w:r>
          </w:p>
        </w:tc>
        <w:tc>
          <w:tcPr>
            <w:tcW w:w="1701" w:type="dxa"/>
            <w:vAlign w:val="center"/>
          </w:tcPr>
          <w:p w14:paraId="7B9BB7B5" w14:textId="61D6A59E" w:rsidR="00A51969" w:rsidRPr="00FF23B8" w:rsidRDefault="00A51969" w:rsidP="00A51969">
            <w:pPr>
              <w:spacing w:after="0" w:line="240" w:lineRule="auto"/>
              <w:jc w:val="center"/>
              <w:rPr>
                <w:rFonts w:ascii="Arial" w:hAnsi="Arial" w:cs="Arial"/>
                <w:sz w:val="20"/>
                <w:szCs w:val="20"/>
                <w:lang w:val="en-US"/>
              </w:rPr>
            </w:pPr>
            <w:r w:rsidRPr="00FF23B8">
              <w:rPr>
                <w:rFonts w:ascii="Arial" w:hAnsi="Arial" w:cs="Arial"/>
                <w:color w:val="000000"/>
                <w:sz w:val="20"/>
                <w:szCs w:val="20"/>
              </w:rPr>
              <w:t>170</w:t>
            </w:r>
          </w:p>
        </w:tc>
        <w:tc>
          <w:tcPr>
            <w:tcW w:w="6339" w:type="dxa"/>
            <w:vAlign w:val="center"/>
          </w:tcPr>
          <w:p w14:paraId="1FE38920" w14:textId="029C88E0" w:rsidR="00A51969" w:rsidRPr="00FF23B8" w:rsidRDefault="00A51969" w:rsidP="00A51969">
            <w:pPr>
              <w:spacing w:after="0" w:line="240" w:lineRule="auto"/>
              <w:jc w:val="center"/>
              <w:rPr>
                <w:rFonts w:ascii="Arial" w:hAnsi="Arial" w:cs="Arial"/>
                <w:sz w:val="20"/>
                <w:szCs w:val="20"/>
                <w:lang w:val="en-US"/>
              </w:rPr>
            </w:pPr>
            <w:r w:rsidRPr="00FF23B8">
              <w:rPr>
                <w:rFonts w:ascii="Arial" w:hAnsi="Arial" w:cs="Arial"/>
                <w:color w:val="000000"/>
                <w:sz w:val="20"/>
                <w:szCs w:val="20"/>
              </w:rPr>
              <w:t>Integrating ESG Metrics into Financial Performance Prediction Models for Islamic Banks Using Random Forest</w:t>
            </w:r>
          </w:p>
        </w:tc>
      </w:tr>
      <w:tr w:rsidR="00A51969" w:rsidRPr="00AE1338" w14:paraId="47F2F975" w14:textId="77777777" w:rsidTr="00FF23B8">
        <w:trPr>
          <w:jc w:val="center"/>
        </w:trPr>
        <w:tc>
          <w:tcPr>
            <w:tcW w:w="1696" w:type="dxa"/>
            <w:vAlign w:val="center"/>
          </w:tcPr>
          <w:p w14:paraId="49478621" w14:textId="21D16CA8" w:rsidR="00A51969" w:rsidRPr="00AE1338" w:rsidRDefault="00A51969" w:rsidP="00A51969">
            <w:pPr>
              <w:spacing w:after="0" w:line="240" w:lineRule="auto"/>
              <w:jc w:val="center"/>
              <w:rPr>
                <w:rFonts w:ascii="Arial" w:hAnsi="Arial" w:cs="Arial"/>
                <w:b/>
                <w:bCs/>
                <w:sz w:val="20"/>
                <w:szCs w:val="20"/>
                <w:lang w:val="en-US"/>
              </w:rPr>
            </w:pPr>
            <w:r w:rsidRPr="00A51969">
              <w:rPr>
                <w:rFonts w:ascii="Arial" w:hAnsi="Arial" w:cs="Arial"/>
                <w:b/>
                <w:bCs/>
                <w:sz w:val="20"/>
                <w:szCs w:val="20"/>
              </w:rPr>
              <w:t>1</w:t>
            </w:r>
            <w:r w:rsidR="00482EC4">
              <w:rPr>
                <w:rFonts w:ascii="Arial" w:hAnsi="Arial" w:cs="Arial"/>
                <w:b/>
                <w:bCs/>
                <w:sz w:val="20"/>
                <w:szCs w:val="20"/>
              </w:rPr>
              <w:t>4</w:t>
            </w:r>
            <w:r w:rsidRPr="00A51969">
              <w:rPr>
                <w:rFonts w:ascii="Arial" w:hAnsi="Arial" w:cs="Arial"/>
                <w:b/>
                <w:bCs/>
                <w:sz w:val="20"/>
                <w:szCs w:val="20"/>
              </w:rPr>
              <w:t>:</w:t>
            </w:r>
            <w:r w:rsidR="00482EC4">
              <w:rPr>
                <w:rFonts w:ascii="Arial" w:hAnsi="Arial" w:cs="Arial"/>
                <w:b/>
                <w:bCs/>
                <w:sz w:val="20"/>
                <w:szCs w:val="20"/>
              </w:rPr>
              <w:t>5</w:t>
            </w:r>
            <w:r w:rsidRPr="00A51969">
              <w:rPr>
                <w:rFonts w:ascii="Arial" w:hAnsi="Arial" w:cs="Arial"/>
                <w:b/>
                <w:bCs/>
                <w:sz w:val="20"/>
                <w:szCs w:val="20"/>
              </w:rPr>
              <w:t>0–15:</w:t>
            </w:r>
            <w:r w:rsidR="00482EC4">
              <w:rPr>
                <w:rFonts w:ascii="Arial" w:hAnsi="Arial" w:cs="Arial"/>
                <w:b/>
                <w:bCs/>
                <w:sz w:val="20"/>
                <w:szCs w:val="20"/>
              </w:rPr>
              <w:t>10</w:t>
            </w:r>
          </w:p>
        </w:tc>
        <w:tc>
          <w:tcPr>
            <w:tcW w:w="1701" w:type="dxa"/>
            <w:vAlign w:val="center"/>
          </w:tcPr>
          <w:p w14:paraId="57F18404" w14:textId="4A3BB11F" w:rsidR="00A51969" w:rsidRPr="00FF23B8" w:rsidRDefault="00A51969" w:rsidP="00A51969">
            <w:pPr>
              <w:spacing w:after="0" w:line="240" w:lineRule="auto"/>
              <w:jc w:val="center"/>
              <w:rPr>
                <w:rFonts w:ascii="Arial" w:hAnsi="Arial" w:cs="Arial"/>
                <w:sz w:val="20"/>
                <w:szCs w:val="20"/>
                <w:lang w:val="en-US"/>
              </w:rPr>
            </w:pPr>
            <w:r w:rsidRPr="00FF23B8">
              <w:rPr>
                <w:rFonts w:ascii="Arial" w:hAnsi="Arial" w:cs="Arial"/>
                <w:color w:val="000000"/>
                <w:sz w:val="20"/>
                <w:szCs w:val="20"/>
              </w:rPr>
              <w:t>196</w:t>
            </w:r>
          </w:p>
        </w:tc>
        <w:tc>
          <w:tcPr>
            <w:tcW w:w="6339" w:type="dxa"/>
            <w:vAlign w:val="center"/>
          </w:tcPr>
          <w:p w14:paraId="67627A19" w14:textId="6F06D17F" w:rsidR="00A51969" w:rsidRPr="00FF23B8" w:rsidRDefault="00A51969" w:rsidP="00A51969">
            <w:pPr>
              <w:spacing w:after="0" w:line="240" w:lineRule="auto"/>
              <w:jc w:val="center"/>
              <w:rPr>
                <w:rFonts w:ascii="Arial" w:hAnsi="Arial" w:cs="Arial"/>
                <w:sz w:val="20"/>
                <w:szCs w:val="20"/>
                <w:lang w:val="en-US"/>
              </w:rPr>
            </w:pPr>
            <w:r w:rsidRPr="00FF23B8">
              <w:rPr>
                <w:rFonts w:ascii="Arial" w:hAnsi="Arial" w:cs="Arial"/>
                <w:color w:val="000000"/>
                <w:sz w:val="20"/>
                <w:szCs w:val="20"/>
              </w:rPr>
              <w:t>Impacts of AI on Socioeconomic Sustainability</w:t>
            </w:r>
          </w:p>
        </w:tc>
      </w:tr>
      <w:tr w:rsidR="00A51969" w:rsidRPr="00AE1338" w14:paraId="138E42F5" w14:textId="77777777" w:rsidTr="00FF23B8">
        <w:trPr>
          <w:jc w:val="center"/>
        </w:trPr>
        <w:tc>
          <w:tcPr>
            <w:tcW w:w="1696" w:type="dxa"/>
            <w:vAlign w:val="center"/>
          </w:tcPr>
          <w:p w14:paraId="4F58D851" w14:textId="1BBBCAB3" w:rsidR="00A51969" w:rsidRPr="00AE1338" w:rsidRDefault="00A51969" w:rsidP="00A51969">
            <w:pPr>
              <w:spacing w:after="0" w:line="240" w:lineRule="auto"/>
              <w:jc w:val="center"/>
              <w:rPr>
                <w:rFonts w:ascii="Arial" w:hAnsi="Arial" w:cs="Arial"/>
                <w:b/>
                <w:bCs/>
                <w:sz w:val="20"/>
                <w:szCs w:val="20"/>
                <w:lang w:val="en-US"/>
              </w:rPr>
            </w:pPr>
            <w:r w:rsidRPr="00A51969">
              <w:rPr>
                <w:rFonts w:ascii="Arial" w:hAnsi="Arial" w:cs="Arial"/>
                <w:b/>
                <w:bCs/>
                <w:sz w:val="20"/>
                <w:szCs w:val="20"/>
              </w:rPr>
              <w:t>15:</w:t>
            </w:r>
            <w:r w:rsidR="00482EC4">
              <w:rPr>
                <w:rFonts w:ascii="Arial" w:hAnsi="Arial" w:cs="Arial"/>
                <w:b/>
                <w:bCs/>
                <w:sz w:val="20"/>
                <w:szCs w:val="20"/>
              </w:rPr>
              <w:t>10</w:t>
            </w:r>
            <w:r w:rsidRPr="00A51969">
              <w:rPr>
                <w:rFonts w:ascii="Arial" w:hAnsi="Arial" w:cs="Arial"/>
                <w:b/>
                <w:bCs/>
                <w:sz w:val="20"/>
                <w:szCs w:val="20"/>
              </w:rPr>
              <w:t>–15:</w:t>
            </w:r>
            <w:r w:rsidR="00482EC4">
              <w:rPr>
                <w:rFonts w:ascii="Arial" w:hAnsi="Arial" w:cs="Arial"/>
                <w:b/>
                <w:bCs/>
                <w:sz w:val="20"/>
                <w:szCs w:val="20"/>
              </w:rPr>
              <w:t>30</w:t>
            </w:r>
          </w:p>
        </w:tc>
        <w:tc>
          <w:tcPr>
            <w:tcW w:w="1701" w:type="dxa"/>
            <w:vAlign w:val="center"/>
          </w:tcPr>
          <w:p w14:paraId="1E6F7AF6" w14:textId="739FE0CE" w:rsidR="00A51969" w:rsidRPr="00FF23B8" w:rsidRDefault="00A51969" w:rsidP="00A51969">
            <w:pPr>
              <w:spacing w:after="0" w:line="240" w:lineRule="auto"/>
              <w:jc w:val="center"/>
              <w:rPr>
                <w:rFonts w:ascii="Arial" w:hAnsi="Arial" w:cs="Arial"/>
                <w:sz w:val="20"/>
                <w:szCs w:val="20"/>
                <w:lang w:val="en-US"/>
              </w:rPr>
            </w:pPr>
            <w:r w:rsidRPr="00FF23B8">
              <w:rPr>
                <w:rFonts w:ascii="Arial" w:hAnsi="Arial" w:cs="Arial"/>
                <w:color w:val="000000"/>
                <w:sz w:val="20"/>
                <w:szCs w:val="20"/>
              </w:rPr>
              <w:t>202</w:t>
            </w:r>
          </w:p>
        </w:tc>
        <w:tc>
          <w:tcPr>
            <w:tcW w:w="6339" w:type="dxa"/>
            <w:vAlign w:val="center"/>
          </w:tcPr>
          <w:p w14:paraId="35CCF98C" w14:textId="57803FC9" w:rsidR="00A51969" w:rsidRPr="00FF23B8" w:rsidRDefault="00A51969" w:rsidP="00A51969">
            <w:pPr>
              <w:spacing w:after="0" w:line="240" w:lineRule="auto"/>
              <w:jc w:val="center"/>
              <w:rPr>
                <w:rFonts w:ascii="Arial" w:hAnsi="Arial" w:cs="Arial"/>
                <w:sz w:val="20"/>
                <w:szCs w:val="20"/>
                <w:lang w:val="en-US"/>
              </w:rPr>
            </w:pPr>
            <w:r w:rsidRPr="00FF23B8">
              <w:rPr>
                <w:rFonts w:ascii="Arial" w:hAnsi="Arial" w:cs="Arial"/>
                <w:color w:val="000000"/>
                <w:sz w:val="20"/>
                <w:szCs w:val="20"/>
              </w:rPr>
              <w:t>Reviewing Publications on The Use of Artificial Intelligence in Cost Accounting Systems Using WOSviewer</w:t>
            </w:r>
          </w:p>
        </w:tc>
      </w:tr>
      <w:tr w:rsidR="00A51969" w:rsidRPr="00AE1338" w14:paraId="5A79C7A0" w14:textId="77777777" w:rsidTr="00FF23B8">
        <w:trPr>
          <w:jc w:val="center"/>
        </w:trPr>
        <w:tc>
          <w:tcPr>
            <w:tcW w:w="1696" w:type="dxa"/>
            <w:vAlign w:val="center"/>
          </w:tcPr>
          <w:p w14:paraId="53AB7556" w14:textId="4CEC46C4" w:rsidR="00A51969" w:rsidRPr="00AE1338" w:rsidRDefault="00A51969" w:rsidP="00A51969">
            <w:pPr>
              <w:spacing w:after="0" w:line="240" w:lineRule="auto"/>
              <w:jc w:val="center"/>
              <w:rPr>
                <w:rFonts w:ascii="Arial" w:hAnsi="Arial" w:cs="Arial"/>
                <w:b/>
                <w:bCs/>
                <w:sz w:val="20"/>
                <w:szCs w:val="20"/>
                <w:lang w:val="en-US"/>
              </w:rPr>
            </w:pPr>
            <w:r w:rsidRPr="00A51969">
              <w:rPr>
                <w:rFonts w:ascii="Arial" w:hAnsi="Arial" w:cs="Arial"/>
                <w:b/>
                <w:bCs/>
                <w:sz w:val="20"/>
                <w:szCs w:val="20"/>
              </w:rPr>
              <w:t>15:</w:t>
            </w:r>
            <w:r w:rsidR="00482EC4">
              <w:rPr>
                <w:rFonts w:ascii="Arial" w:hAnsi="Arial" w:cs="Arial"/>
                <w:b/>
                <w:bCs/>
                <w:sz w:val="20"/>
                <w:szCs w:val="20"/>
              </w:rPr>
              <w:t>30</w:t>
            </w:r>
            <w:r w:rsidRPr="00A51969">
              <w:rPr>
                <w:rFonts w:ascii="Arial" w:hAnsi="Arial" w:cs="Arial"/>
                <w:b/>
                <w:bCs/>
                <w:sz w:val="20"/>
                <w:szCs w:val="20"/>
              </w:rPr>
              <w:t>–1</w:t>
            </w:r>
            <w:r w:rsidR="00482EC4">
              <w:rPr>
                <w:rFonts w:ascii="Arial" w:hAnsi="Arial" w:cs="Arial"/>
                <w:b/>
                <w:bCs/>
                <w:sz w:val="20"/>
                <w:szCs w:val="20"/>
              </w:rPr>
              <w:t>5</w:t>
            </w:r>
            <w:r w:rsidRPr="00A51969">
              <w:rPr>
                <w:rFonts w:ascii="Arial" w:hAnsi="Arial" w:cs="Arial"/>
                <w:b/>
                <w:bCs/>
                <w:sz w:val="20"/>
                <w:szCs w:val="20"/>
              </w:rPr>
              <w:t>:</w:t>
            </w:r>
            <w:r w:rsidR="00482EC4">
              <w:rPr>
                <w:rFonts w:ascii="Arial" w:hAnsi="Arial" w:cs="Arial"/>
                <w:b/>
                <w:bCs/>
                <w:sz w:val="20"/>
                <w:szCs w:val="20"/>
              </w:rPr>
              <w:t>50</w:t>
            </w:r>
          </w:p>
        </w:tc>
        <w:tc>
          <w:tcPr>
            <w:tcW w:w="1701" w:type="dxa"/>
            <w:vAlign w:val="center"/>
          </w:tcPr>
          <w:p w14:paraId="73C15741" w14:textId="6E1BF315" w:rsidR="00A51969" w:rsidRPr="00FF23B8" w:rsidRDefault="00A51969" w:rsidP="00A51969">
            <w:pPr>
              <w:spacing w:after="0" w:line="240" w:lineRule="auto"/>
              <w:jc w:val="center"/>
              <w:rPr>
                <w:rFonts w:ascii="Arial" w:hAnsi="Arial" w:cs="Arial"/>
                <w:sz w:val="20"/>
                <w:szCs w:val="20"/>
                <w:lang w:val="en-US"/>
              </w:rPr>
            </w:pPr>
            <w:r w:rsidRPr="00FF23B8">
              <w:rPr>
                <w:rFonts w:ascii="Arial" w:hAnsi="Arial" w:cs="Arial"/>
                <w:color w:val="000000"/>
                <w:sz w:val="20"/>
                <w:szCs w:val="20"/>
              </w:rPr>
              <w:t>203</w:t>
            </w:r>
          </w:p>
        </w:tc>
        <w:tc>
          <w:tcPr>
            <w:tcW w:w="6339" w:type="dxa"/>
            <w:vAlign w:val="center"/>
          </w:tcPr>
          <w:p w14:paraId="5B3D51D9" w14:textId="41497081" w:rsidR="00A51969" w:rsidRPr="00FF23B8" w:rsidRDefault="00A51969" w:rsidP="00A51969">
            <w:pPr>
              <w:spacing w:after="0" w:line="240" w:lineRule="auto"/>
              <w:jc w:val="center"/>
              <w:rPr>
                <w:rFonts w:ascii="Arial" w:hAnsi="Arial" w:cs="Arial"/>
                <w:sz w:val="20"/>
                <w:szCs w:val="20"/>
                <w:lang w:val="en-US"/>
              </w:rPr>
            </w:pPr>
            <w:r w:rsidRPr="00FF23B8">
              <w:rPr>
                <w:rFonts w:ascii="Arial" w:hAnsi="Arial" w:cs="Arial"/>
                <w:color w:val="000000"/>
                <w:sz w:val="20"/>
                <w:szCs w:val="20"/>
              </w:rPr>
              <w:t>A Comparative Study of BERTopic and Top2Vec for As-pect-Based Sentiment Analysis on Public Opinion To-ward Indonesia’s New Capital City Development</w:t>
            </w:r>
          </w:p>
        </w:tc>
      </w:tr>
      <w:tr w:rsidR="00A51969" w:rsidRPr="00AE1338" w14:paraId="55591B85" w14:textId="77777777" w:rsidTr="00EC4C78">
        <w:trPr>
          <w:jc w:val="center"/>
        </w:trPr>
        <w:tc>
          <w:tcPr>
            <w:tcW w:w="1696" w:type="dxa"/>
            <w:vAlign w:val="center"/>
          </w:tcPr>
          <w:p w14:paraId="7EECB02F" w14:textId="07FBDCB3" w:rsidR="00A51969" w:rsidRPr="00AE1338" w:rsidRDefault="00A51969" w:rsidP="00A51969">
            <w:pPr>
              <w:spacing w:after="0" w:line="240" w:lineRule="auto"/>
              <w:jc w:val="center"/>
              <w:rPr>
                <w:rFonts w:ascii="Arial" w:hAnsi="Arial" w:cs="Arial"/>
                <w:b/>
                <w:bCs/>
                <w:sz w:val="20"/>
                <w:szCs w:val="20"/>
                <w:lang w:val="en-US"/>
              </w:rPr>
            </w:pPr>
            <w:r w:rsidRPr="00A51969">
              <w:rPr>
                <w:rFonts w:ascii="Arial" w:hAnsi="Arial" w:cs="Arial"/>
                <w:b/>
                <w:bCs/>
                <w:sz w:val="20"/>
                <w:szCs w:val="20"/>
              </w:rPr>
              <w:t>1</w:t>
            </w:r>
            <w:r w:rsidR="00482EC4">
              <w:rPr>
                <w:rFonts w:ascii="Arial" w:hAnsi="Arial" w:cs="Arial"/>
                <w:b/>
                <w:bCs/>
                <w:sz w:val="20"/>
                <w:szCs w:val="20"/>
              </w:rPr>
              <w:t>5</w:t>
            </w:r>
            <w:r w:rsidRPr="00A51969">
              <w:rPr>
                <w:rFonts w:ascii="Arial" w:hAnsi="Arial" w:cs="Arial"/>
                <w:b/>
                <w:bCs/>
                <w:sz w:val="20"/>
                <w:szCs w:val="20"/>
              </w:rPr>
              <w:t>:</w:t>
            </w:r>
            <w:r w:rsidR="00482EC4">
              <w:rPr>
                <w:rFonts w:ascii="Arial" w:hAnsi="Arial" w:cs="Arial"/>
                <w:b/>
                <w:bCs/>
                <w:sz w:val="20"/>
                <w:szCs w:val="20"/>
              </w:rPr>
              <w:t>50</w:t>
            </w:r>
            <w:r w:rsidRPr="00A51969">
              <w:rPr>
                <w:rFonts w:ascii="Arial" w:hAnsi="Arial" w:cs="Arial"/>
                <w:b/>
                <w:bCs/>
                <w:sz w:val="20"/>
                <w:szCs w:val="20"/>
              </w:rPr>
              <w:t>–16:</w:t>
            </w:r>
            <w:r w:rsidR="00482EC4">
              <w:rPr>
                <w:rFonts w:ascii="Arial" w:hAnsi="Arial" w:cs="Arial"/>
                <w:b/>
                <w:bCs/>
                <w:sz w:val="20"/>
                <w:szCs w:val="20"/>
              </w:rPr>
              <w:t>10</w:t>
            </w:r>
          </w:p>
        </w:tc>
        <w:tc>
          <w:tcPr>
            <w:tcW w:w="1701" w:type="dxa"/>
            <w:vAlign w:val="center"/>
          </w:tcPr>
          <w:p w14:paraId="592FF7D4" w14:textId="23BACD60" w:rsidR="00A51969" w:rsidRPr="00FF23B8" w:rsidRDefault="00A51969" w:rsidP="00A51969">
            <w:pPr>
              <w:spacing w:after="0" w:line="240" w:lineRule="auto"/>
              <w:jc w:val="center"/>
              <w:rPr>
                <w:rFonts w:ascii="Arial" w:hAnsi="Arial" w:cs="Arial"/>
                <w:color w:val="000000"/>
                <w:sz w:val="20"/>
                <w:szCs w:val="20"/>
              </w:rPr>
            </w:pPr>
            <w:r>
              <w:rPr>
                <w:rFonts w:ascii="Arial" w:hAnsi="Arial" w:cs="Arial"/>
                <w:color w:val="000000"/>
                <w:sz w:val="20"/>
                <w:szCs w:val="20"/>
              </w:rPr>
              <w:t>204</w:t>
            </w:r>
          </w:p>
        </w:tc>
        <w:tc>
          <w:tcPr>
            <w:tcW w:w="6339" w:type="dxa"/>
            <w:vAlign w:val="center"/>
          </w:tcPr>
          <w:p w14:paraId="20436A7E" w14:textId="5065AAEC" w:rsidR="00A51969" w:rsidRPr="00FF23B8" w:rsidRDefault="00A51969" w:rsidP="00A51969">
            <w:pPr>
              <w:spacing w:after="0" w:line="240" w:lineRule="auto"/>
              <w:jc w:val="center"/>
              <w:rPr>
                <w:rFonts w:ascii="Arial" w:hAnsi="Arial" w:cs="Arial"/>
                <w:color w:val="000000"/>
                <w:sz w:val="20"/>
                <w:szCs w:val="20"/>
              </w:rPr>
            </w:pPr>
            <w:r>
              <w:rPr>
                <w:rFonts w:ascii="Arial" w:hAnsi="Arial" w:cs="Arial"/>
                <w:color w:val="000000"/>
                <w:sz w:val="20"/>
                <w:szCs w:val="20"/>
              </w:rPr>
              <w:t>AI Literacy and the Digital Divide: A Multi-Layered Synthesis and Future Research Agenda</w:t>
            </w:r>
          </w:p>
        </w:tc>
      </w:tr>
      <w:tr w:rsidR="00FD3B66" w:rsidRPr="00AE1338" w14:paraId="5CF20F16" w14:textId="77777777" w:rsidTr="00EC4C78">
        <w:trPr>
          <w:jc w:val="center"/>
        </w:trPr>
        <w:tc>
          <w:tcPr>
            <w:tcW w:w="1696" w:type="dxa"/>
            <w:vAlign w:val="center"/>
          </w:tcPr>
          <w:p w14:paraId="6D56A799" w14:textId="3E544879" w:rsidR="00FD3B66" w:rsidRPr="00A51969" w:rsidRDefault="00FD3B66" w:rsidP="00A51969">
            <w:pPr>
              <w:spacing w:after="0" w:line="240" w:lineRule="auto"/>
              <w:jc w:val="center"/>
              <w:rPr>
                <w:rFonts w:ascii="Arial" w:hAnsi="Arial" w:cs="Arial"/>
                <w:b/>
                <w:bCs/>
                <w:sz w:val="20"/>
                <w:szCs w:val="20"/>
              </w:rPr>
            </w:pPr>
            <w:r>
              <w:rPr>
                <w:rFonts w:ascii="Arial" w:hAnsi="Arial" w:cs="Arial"/>
                <w:b/>
                <w:bCs/>
                <w:sz w:val="20"/>
                <w:szCs w:val="20"/>
              </w:rPr>
              <w:t>16</w:t>
            </w:r>
            <w:r w:rsidR="006E7E87">
              <w:rPr>
                <w:rFonts w:ascii="Arial" w:hAnsi="Arial" w:cs="Arial"/>
                <w:b/>
                <w:bCs/>
                <w:sz w:val="20"/>
                <w:szCs w:val="20"/>
              </w:rPr>
              <w:t>:</w:t>
            </w:r>
            <w:r w:rsidR="00E834E5">
              <w:rPr>
                <w:rFonts w:ascii="Arial" w:hAnsi="Arial" w:cs="Arial"/>
                <w:b/>
                <w:bCs/>
                <w:sz w:val="20"/>
                <w:szCs w:val="20"/>
              </w:rPr>
              <w:t>1</w:t>
            </w:r>
            <w:r w:rsidR="00482EC4">
              <w:rPr>
                <w:rFonts w:ascii="Arial" w:hAnsi="Arial" w:cs="Arial"/>
                <w:b/>
                <w:bCs/>
                <w:sz w:val="20"/>
                <w:szCs w:val="20"/>
              </w:rPr>
              <w:t>0</w:t>
            </w:r>
            <w:r w:rsidR="006E7E87">
              <w:rPr>
                <w:rFonts w:ascii="Arial" w:hAnsi="Arial" w:cs="Arial"/>
                <w:b/>
                <w:bCs/>
                <w:sz w:val="20"/>
                <w:szCs w:val="20"/>
              </w:rPr>
              <w:t>-1</w:t>
            </w:r>
            <w:r w:rsidR="00482EC4">
              <w:rPr>
                <w:rFonts w:ascii="Arial" w:hAnsi="Arial" w:cs="Arial"/>
                <w:b/>
                <w:bCs/>
                <w:sz w:val="20"/>
                <w:szCs w:val="20"/>
              </w:rPr>
              <w:t>6</w:t>
            </w:r>
            <w:r w:rsidR="006E7E87">
              <w:rPr>
                <w:rFonts w:ascii="Arial" w:hAnsi="Arial" w:cs="Arial"/>
                <w:b/>
                <w:bCs/>
                <w:sz w:val="20"/>
                <w:szCs w:val="20"/>
              </w:rPr>
              <w:t>:</w:t>
            </w:r>
            <w:r w:rsidR="00E834E5">
              <w:rPr>
                <w:rFonts w:ascii="Arial" w:hAnsi="Arial" w:cs="Arial"/>
                <w:b/>
                <w:bCs/>
                <w:sz w:val="20"/>
                <w:szCs w:val="20"/>
              </w:rPr>
              <w:t>3</w:t>
            </w:r>
            <w:r w:rsidR="00482EC4">
              <w:rPr>
                <w:rFonts w:ascii="Arial" w:hAnsi="Arial" w:cs="Arial"/>
                <w:b/>
                <w:bCs/>
                <w:sz w:val="20"/>
                <w:szCs w:val="20"/>
              </w:rPr>
              <w:t>0</w:t>
            </w:r>
          </w:p>
        </w:tc>
        <w:tc>
          <w:tcPr>
            <w:tcW w:w="1701" w:type="dxa"/>
            <w:vAlign w:val="center"/>
          </w:tcPr>
          <w:p w14:paraId="30687C3D" w14:textId="3B6557ED" w:rsidR="00FD3B66" w:rsidRDefault="00FD3B66" w:rsidP="00A51969">
            <w:pPr>
              <w:spacing w:after="0" w:line="240" w:lineRule="auto"/>
              <w:jc w:val="center"/>
              <w:rPr>
                <w:rFonts w:ascii="Arial" w:hAnsi="Arial" w:cs="Arial"/>
                <w:color w:val="000000"/>
                <w:sz w:val="20"/>
                <w:szCs w:val="20"/>
              </w:rPr>
            </w:pPr>
            <w:r>
              <w:rPr>
                <w:rFonts w:ascii="Arial" w:hAnsi="Arial" w:cs="Arial"/>
                <w:color w:val="000000"/>
                <w:sz w:val="20"/>
                <w:szCs w:val="20"/>
              </w:rPr>
              <w:t>164</w:t>
            </w:r>
          </w:p>
        </w:tc>
        <w:tc>
          <w:tcPr>
            <w:tcW w:w="6339" w:type="dxa"/>
            <w:vAlign w:val="center"/>
          </w:tcPr>
          <w:p w14:paraId="3372FA1E" w14:textId="6937C1D8" w:rsidR="00FD3B66" w:rsidRPr="006B64FC" w:rsidRDefault="00FD3B66" w:rsidP="00A51969">
            <w:pPr>
              <w:spacing w:after="0" w:line="240" w:lineRule="auto"/>
              <w:jc w:val="center"/>
              <w:rPr>
                <w:rFonts w:ascii="Arial" w:hAnsi="Arial" w:cs="Arial"/>
                <w:color w:val="000000"/>
                <w:sz w:val="20"/>
                <w:szCs w:val="20"/>
              </w:rPr>
            </w:pPr>
            <w:r w:rsidRPr="00FD3B66">
              <w:rPr>
                <w:rFonts w:ascii="Arial" w:hAnsi="Arial" w:cs="Arial"/>
                <w:color w:val="000000"/>
                <w:sz w:val="20"/>
                <w:szCs w:val="20"/>
              </w:rPr>
              <w:t>Beyond fragmented models: proposal for a systemic model of the digital transformation of higher education</w:t>
            </w:r>
          </w:p>
        </w:tc>
      </w:tr>
    </w:tbl>
    <w:p w14:paraId="0F638680" w14:textId="77777777" w:rsidR="00810AC1" w:rsidRDefault="00810AC1" w:rsidP="00A51969">
      <w:pPr>
        <w:spacing w:after="0" w:line="240" w:lineRule="auto"/>
        <w:rPr>
          <w:rFonts w:ascii="Arial" w:hAnsi="Arial" w:cs="Arial"/>
          <w:b/>
          <w:bCs/>
          <w:sz w:val="20"/>
          <w:szCs w:val="20"/>
          <w:lang w:val="en-US"/>
        </w:rPr>
      </w:pPr>
    </w:p>
    <w:p w14:paraId="5056B026" w14:textId="77777777" w:rsidR="001868D7" w:rsidRDefault="001868D7" w:rsidP="00A51969">
      <w:pPr>
        <w:spacing w:after="0" w:line="240" w:lineRule="auto"/>
        <w:rPr>
          <w:rFonts w:ascii="Arial" w:hAnsi="Arial" w:cs="Arial"/>
          <w:b/>
          <w:bCs/>
          <w:sz w:val="20"/>
          <w:szCs w:val="20"/>
          <w:lang w:val="en-US"/>
        </w:rPr>
      </w:pPr>
    </w:p>
    <w:p w14:paraId="13301FE5" w14:textId="77777777" w:rsidR="001868D7" w:rsidRDefault="001868D7" w:rsidP="00A51969">
      <w:pPr>
        <w:spacing w:after="0" w:line="240" w:lineRule="auto"/>
        <w:rPr>
          <w:rFonts w:ascii="Arial" w:hAnsi="Arial" w:cs="Arial"/>
          <w:b/>
          <w:bCs/>
          <w:sz w:val="20"/>
          <w:szCs w:val="20"/>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701"/>
        <w:gridCol w:w="6339"/>
      </w:tblGrid>
      <w:tr w:rsidR="00D569C1" w:rsidRPr="00AE1338" w14:paraId="79A505AC" w14:textId="77777777" w:rsidTr="007C6E48">
        <w:trPr>
          <w:jc w:val="center"/>
        </w:trPr>
        <w:tc>
          <w:tcPr>
            <w:tcW w:w="0" w:type="auto"/>
            <w:gridSpan w:val="3"/>
            <w:vAlign w:val="center"/>
          </w:tcPr>
          <w:p w14:paraId="62F7F2AB" w14:textId="77777777" w:rsidR="00C81E16" w:rsidRPr="00AE1338" w:rsidRDefault="00C81E16" w:rsidP="00A51969">
            <w:pPr>
              <w:spacing w:after="0" w:line="240" w:lineRule="auto"/>
              <w:jc w:val="right"/>
              <w:rPr>
                <w:rFonts w:ascii="Arial" w:hAnsi="Arial" w:cs="Arial"/>
                <w:b/>
                <w:bCs/>
                <w:sz w:val="20"/>
                <w:szCs w:val="20"/>
                <w:lang w:val="en-US"/>
              </w:rPr>
            </w:pPr>
            <w:r>
              <w:rPr>
                <w:rFonts w:ascii="Arial" w:hAnsi="Arial" w:cs="Arial"/>
                <w:b/>
                <w:bCs/>
                <w:sz w:val="20"/>
                <w:szCs w:val="20"/>
                <w:lang w:val="en-US"/>
              </w:rPr>
              <w:t>20</w:t>
            </w:r>
            <w:r w:rsidRPr="00AE1338">
              <w:rPr>
                <w:rFonts w:ascii="Arial" w:hAnsi="Arial" w:cs="Arial"/>
                <w:b/>
                <w:bCs/>
                <w:sz w:val="20"/>
                <w:szCs w:val="20"/>
                <w:vertAlign w:val="superscript"/>
                <w:lang w:val="en-US"/>
              </w:rPr>
              <w:t>th</w:t>
            </w:r>
            <w:r w:rsidRPr="00AE1338">
              <w:rPr>
                <w:rFonts w:ascii="Arial" w:hAnsi="Arial" w:cs="Arial"/>
                <w:b/>
                <w:bCs/>
                <w:sz w:val="20"/>
                <w:szCs w:val="20"/>
                <w:lang w:val="en-US"/>
              </w:rPr>
              <w:t xml:space="preserve"> August 2025</w:t>
            </w:r>
          </w:p>
          <w:p w14:paraId="6E1F11E4" w14:textId="1CBE9D59" w:rsidR="00D569C1" w:rsidRPr="00AE1338" w:rsidRDefault="00971246" w:rsidP="00A51969">
            <w:pPr>
              <w:spacing w:after="0" w:line="240" w:lineRule="auto"/>
              <w:jc w:val="center"/>
              <w:rPr>
                <w:rFonts w:ascii="Arial" w:hAnsi="Arial" w:cs="Arial"/>
                <w:b/>
                <w:bCs/>
                <w:sz w:val="20"/>
                <w:szCs w:val="20"/>
                <w:lang w:val="en-US"/>
              </w:rPr>
            </w:pPr>
            <w:r>
              <w:rPr>
                <w:rFonts w:ascii="Arial" w:hAnsi="Arial" w:cs="Arial"/>
                <w:b/>
                <w:bCs/>
                <w:sz w:val="20"/>
                <w:szCs w:val="20"/>
                <w:lang w:val="en-US"/>
              </w:rPr>
              <w:t xml:space="preserve">Parallel Session </w:t>
            </w:r>
            <w:r w:rsidR="00D569C1">
              <w:rPr>
                <w:rFonts w:ascii="Arial" w:hAnsi="Arial" w:cs="Arial"/>
                <w:b/>
                <w:bCs/>
                <w:sz w:val="20"/>
                <w:szCs w:val="20"/>
                <w:lang w:val="en-US"/>
              </w:rPr>
              <w:t>C</w:t>
            </w:r>
          </w:p>
          <w:p w14:paraId="10C2875D" w14:textId="5DCCB617" w:rsidR="00F953AF" w:rsidRPr="00F953AF" w:rsidRDefault="00D569C1" w:rsidP="00F953AF">
            <w:pPr>
              <w:spacing w:after="0" w:line="240" w:lineRule="auto"/>
              <w:rPr>
                <w:rFonts w:ascii="Arial" w:hAnsi="Arial" w:cs="Arial"/>
                <w:b/>
                <w:bCs/>
                <w:sz w:val="20"/>
                <w:szCs w:val="20"/>
                <w:lang w:val="en-US"/>
              </w:rPr>
            </w:pPr>
            <w:r w:rsidRPr="00AE1338">
              <w:rPr>
                <w:rFonts w:ascii="Arial" w:hAnsi="Arial" w:cs="Arial"/>
                <w:b/>
                <w:bCs/>
                <w:sz w:val="20"/>
                <w:szCs w:val="20"/>
                <w:lang w:val="en-US"/>
              </w:rPr>
              <w:t>Session Chair:</w:t>
            </w:r>
            <w:r>
              <w:rPr>
                <w:rFonts w:ascii="Arial" w:hAnsi="Arial" w:cs="Arial"/>
                <w:b/>
                <w:bCs/>
                <w:sz w:val="20"/>
                <w:szCs w:val="20"/>
                <w:lang w:val="en-US"/>
              </w:rPr>
              <w:t xml:space="preserve"> </w:t>
            </w:r>
            <w:r w:rsidR="00F953AF" w:rsidRPr="00F953AF">
              <w:rPr>
                <w:rFonts w:ascii="Arial" w:hAnsi="Arial" w:cs="Arial"/>
                <w:b/>
                <w:bCs/>
                <w:sz w:val="20"/>
                <w:szCs w:val="20"/>
                <w:lang w:val="en-US"/>
              </w:rPr>
              <w:t xml:space="preserve">Naser Jawas, S.T., </w:t>
            </w:r>
            <w:proofErr w:type="gramStart"/>
            <w:r w:rsidR="00F953AF" w:rsidRPr="00F953AF">
              <w:rPr>
                <w:rFonts w:ascii="Arial" w:hAnsi="Arial" w:cs="Arial"/>
                <w:b/>
                <w:bCs/>
                <w:sz w:val="20"/>
                <w:szCs w:val="20"/>
                <w:lang w:val="en-US"/>
              </w:rPr>
              <w:t>M.Kom</w:t>
            </w:r>
            <w:proofErr w:type="gramEnd"/>
            <w:r w:rsidR="00F953AF" w:rsidRPr="00F953AF">
              <w:rPr>
                <w:rFonts w:ascii="Arial" w:hAnsi="Arial" w:cs="Arial"/>
                <w:b/>
                <w:bCs/>
                <w:sz w:val="20"/>
                <w:szCs w:val="20"/>
                <w:lang w:val="en-US"/>
              </w:rPr>
              <w:t>., Ph.D.</w:t>
            </w:r>
          </w:p>
          <w:p w14:paraId="0F02CDFC" w14:textId="66FF61FE" w:rsidR="00D569C1" w:rsidRPr="00AE1338" w:rsidRDefault="00D569C1" w:rsidP="001868D7">
            <w:pPr>
              <w:spacing w:after="0" w:line="240" w:lineRule="auto"/>
              <w:rPr>
                <w:rFonts w:ascii="Arial" w:hAnsi="Arial" w:cs="Arial"/>
                <w:b/>
                <w:bCs/>
                <w:sz w:val="20"/>
                <w:szCs w:val="20"/>
                <w:lang w:val="en-US"/>
              </w:rPr>
            </w:pPr>
            <w:r w:rsidRPr="00AE1338">
              <w:rPr>
                <w:rFonts w:ascii="Arial" w:hAnsi="Arial" w:cs="Arial"/>
                <w:b/>
                <w:bCs/>
                <w:sz w:val="20"/>
                <w:szCs w:val="20"/>
                <w:lang w:val="en-US"/>
              </w:rPr>
              <w:t xml:space="preserve">Location: </w:t>
            </w:r>
            <w:r>
              <w:rPr>
                <w:rFonts w:ascii="Arial" w:hAnsi="Arial" w:cs="Arial"/>
                <w:b/>
                <w:bCs/>
                <w:sz w:val="20"/>
                <w:szCs w:val="20"/>
                <w:lang w:val="en-US"/>
              </w:rPr>
              <w:t xml:space="preserve">Online </w:t>
            </w:r>
          </w:p>
        </w:tc>
      </w:tr>
      <w:tr w:rsidR="004B65CC" w:rsidRPr="00AE1338" w14:paraId="4A283920" w14:textId="77777777" w:rsidTr="007C6E48">
        <w:trPr>
          <w:jc w:val="center"/>
        </w:trPr>
        <w:tc>
          <w:tcPr>
            <w:tcW w:w="1696" w:type="dxa"/>
            <w:vAlign w:val="center"/>
          </w:tcPr>
          <w:p w14:paraId="4AD7A27A" w14:textId="77777777" w:rsidR="004B65CC" w:rsidRPr="00AE1338" w:rsidRDefault="004B65CC" w:rsidP="00A51969">
            <w:pPr>
              <w:spacing w:after="0" w:line="240" w:lineRule="auto"/>
              <w:jc w:val="center"/>
              <w:rPr>
                <w:rFonts w:ascii="Arial" w:hAnsi="Arial" w:cs="Arial"/>
                <w:b/>
                <w:bCs/>
                <w:sz w:val="20"/>
                <w:szCs w:val="20"/>
                <w:lang w:val="en-US"/>
              </w:rPr>
            </w:pPr>
            <w:r>
              <w:rPr>
                <w:rFonts w:ascii="Arial" w:hAnsi="Arial" w:cs="Arial"/>
                <w:b/>
                <w:bCs/>
                <w:sz w:val="20"/>
                <w:szCs w:val="20"/>
                <w:lang w:val="en-US"/>
              </w:rPr>
              <w:t>Time (Istanbul Turkiye)</w:t>
            </w:r>
          </w:p>
        </w:tc>
        <w:tc>
          <w:tcPr>
            <w:tcW w:w="1701" w:type="dxa"/>
            <w:vAlign w:val="center"/>
          </w:tcPr>
          <w:p w14:paraId="4D80FA10" w14:textId="133A9155" w:rsidR="004B65CC" w:rsidRPr="00AE1338" w:rsidRDefault="004B65CC" w:rsidP="00A51969">
            <w:pPr>
              <w:spacing w:after="0" w:line="240" w:lineRule="auto"/>
              <w:jc w:val="center"/>
              <w:rPr>
                <w:rFonts w:ascii="Arial" w:hAnsi="Arial" w:cs="Arial"/>
                <w:b/>
                <w:bCs/>
                <w:sz w:val="20"/>
                <w:szCs w:val="20"/>
                <w:lang w:val="en-US"/>
              </w:rPr>
            </w:pPr>
            <w:r w:rsidRPr="00E84230">
              <w:rPr>
                <w:rFonts w:ascii="Arial" w:hAnsi="Arial" w:cs="Arial"/>
                <w:b/>
                <w:bCs/>
                <w:sz w:val="20"/>
                <w:szCs w:val="20"/>
                <w:lang w:val="en-US"/>
              </w:rPr>
              <w:t xml:space="preserve">Paper </w:t>
            </w:r>
            <w:r>
              <w:rPr>
                <w:rFonts w:ascii="Arial" w:hAnsi="Arial" w:cs="Arial"/>
                <w:b/>
                <w:bCs/>
                <w:sz w:val="20"/>
                <w:szCs w:val="20"/>
                <w:lang w:val="en-US"/>
              </w:rPr>
              <w:t>ID</w:t>
            </w:r>
          </w:p>
        </w:tc>
        <w:tc>
          <w:tcPr>
            <w:tcW w:w="6339" w:type="dxa"/>
            <w:vAlign w:val="center"/>
          </w:tcPr>
          <w:p w14:paraId="6806062F" w14:textId="3D7FCF10" w:rsidR="004B65CC" w:rsidRPr="00AE1338" w:rsidRDefault="004B65CC" w:rsidP="00A51969">
            <w:pPr>
              <w:spacing w:after="0" w:line="240" w:lineRule="auto"/>
              <w:jc w:val="center"/>
              <w:rPr>
                <w:rFonts w:ascii="Arial" w:hAnsi="Arial" w:cs="Arial"/>
                <w:b/>
                <w:bCs/>
                <w:sz w:val="20"/>
                <w:szCs w:val="20"/>
                <w:lang w:val="en-US"/>
              </w:rPr>
            </w:pPr>
            <w:r w:rsidRPr="00E84230">
              <w:rPr>
                <w:rFonts w:ascii="Arial" w:hAnsi="Arial" w:cs="Arial"/>
                <w:b/>
                <w:bCs/>
                <w:sz w:val="20"/>
                <w:szCs w:val="20"/>
                <w:lang w:val="en-US"/>
              </w:rPr>
              <w:t>Paper</w:t>
            </w:r>
            <w:r>
              <w:rPr>
                <w:rFonts w:ascii="Arial" w:hAnsi="Arial" w:cs="Arial"/>
                <w:b/>
                <w:bCs/>
                <w:sz w:val="20"/>
                <w:szCs w:val="20"/>
                <w:lang w:val="en-US"/>
              </w:rPr>
              <w:t xml:space="preserve"> Title</w:t>
            </w:r>
          </w:p>
        </w:tc>
      </w:tr>
      <w:tr w:rsidR="004066FB" w:rsidRPr="00AE1338" w14:paraId="4154F3ED" w14:textId="77777777" w:rsidTr="004066FB">
        <w:trPr>
          <w:jc w:val="center"/>
        </w:trPr>
        <w:tc>
          <w:tcPr>
            <w:tcW w:w="1696" w:type="dxa"/>
            <w:vAlign w:val="center"/>
          </w:tcPr>
          <w:p w14:paraId="04246ABA" w14:textId="2D77A489" w:rsidR="004066FB" w:rsidRPr="004066FB"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09:00–09:20</w:t>
            </w:r>
          </w:p>
        </w:tc>
        <w:tc>
          <w:tcPr>
            <w:tcW w:w="1701" w:type="dxa"/>
            <w:vAlign w:val="center"/>
          </w:tcPr>
          <w:p w14:paraId="041F1CD8" w14:textId="6C1B8DAE" w:rsidR="004066FB" w:rsidRPr="006511E1" w:rsidRDefault="004066FB" w:rsidP="004066FB">
            <w:pPr>
              <w:spacing w:after="0" w:line="240" w:lineRule="auto"/>
              <w:jc w:val="center"/>
              <w:rPr>
                <w:rFonts w:ascii="Arial" w:hAnsi="Arial" w:cs="Arial"/>
                <w:sz w:val="20"/>
                <w:szCs w:val="20"/>
                <w:lang w:val="en-US"/>
              </w:rPr>
            </w:pPr>
            <w:r w:rsidRPr="006511E1">
              <w:rPr>
                <w:rFonts w:ascii="Arial" w:hAnsi="Arial" w:cs="Arial"/>
                <w:color w:val="000000"/>
                <w:sz w:val="20"/>
                <w:szCs w:val="20"/>
              </w:rPr>
              <w:t>5</w:t>
            </w:r>
          </w:p>
        </w:tc>
        <w:tc>
          <w:tcPr>
            <w:tcW w:w="6339" w:type="dxa"/>
            <w:vAlign w:val="center"/>
          </w:tcPr>
          <w:p w14:paraId="38A23195" w14:textId="78173D93" w:rsidR="004066FB" w:rsidRPr="006511E1" w:rsidRDefault="004066FB" w:rsidP="004066FB">
            <w:pPr>
              <w:spacing w:after="0" w:line="240" w:lineRule="auto"/>
              <w:jc w:val="center"/>
              <w:rPr>
                <w:rFonts w:ascii="Arial" w:hAnsi="Arial" w:cs="Arial"/>
                <w:sz w:val="20"/>
                <w:szCs w:val="20"/>
                <w:lang w:val="en-US"/>
              </w:rPr>
            </w:pPr>
            <w:r w:rsidRPr="006511E1">
              <w:rPr>
                <w:rFonts w:ascii="Arial" w:hAnsi="Arial" w:cs="Arial"/>
                <w:color w:val="000000"/>
                <w:sz w:val="20"/>
                <w:szCs w:val="20"/>
              </w:rPr>
              <w:t>Designing a Blockchain-Based System to Enhance Security in Indonesia's Halal Certification Process</w:t>
            </w:r>
          </w:p>
        </w:tc>
      </w:tr>
      <w:tr w:rsidR="004066FB" w:rsidRPr="00AE1338" w14:paraId="53A2C66D" w14:textId="77777777" w:rsidTr="004066FB">
        <w:trPr>
          <w:jc w:val="center"/>
        </w:trPr>
        <w:tc>
          <w:tcPr>
            <w:tcW w:w="1696" w:type="dxa"/>
            <w:vAlign w:val="center"/>
          </w:tcPr>
          <w:p w14:paraId="731E99EB" w14:textId="4B978B66" w:rsidR="004066FB" w:rsidRPr="004066FB"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09:20–09:40</w:t>
            </w:r>
          </w:p>
        </w:tc>
        <w:tc>
          <w:tcPr>
            <w:tcW w:w="1701" w:type="dxa"/>
            <w:vAlign w:val="center"/>
          </w:tcPr>
          <w:p w14:paraId="7803CFDE" w14:textId="2EA229DD" w:rsidR="004066FB" w:rsidRPr="006511E1" w:rsidRDefault="004066FB" w:rsidP="004066FB">
            <w:pPr>
              <w:spacing w:after="0" w:line="240" w:lineRule="auto"/>
              <w:jc w:val="center"/>
              <w:rPr>
                <w:rFonts w:ascii="Arial" w:hAnsi="Arial" w:cs="Arial"/>
                <w:sz w:val="20"/>
                <w:szCs w:val="20"/>
                <w:lang w:val="en-US"/>
              </w:rPr>
            </w:pPr>
            <w:r w:rsidRPr="006511E1">
              <w:rPr>
                <w:rFonts w:ascii="Arial" w:hAnsi="Arial" w:cs="Arial"/>
                <w:color w:val="000000"/>
                <w:sz w:val="20"/>
                <w:szCs w:val="20"/>
              </w:rPr>
              <w:t>8</w:t>
            </w:r>
          </w:p>
        </w:tc>
        <w:tc>
          <w:tcPr>
            <w:tcW w:w="6339" w:type="dxa"/>
            <w:vAlign w:val="center"/>
          </w:tcPr>
          <w:p w14:paraId="454A6F75" w14:textId="1E2CC7B2" w:rsidR="004066FB" w:rsidRPr="006511E1" w:rsidRDefault="004066FB" w:rsidP="004066FB">
            <w:pPr>
              <w:spacing w:after="0" w:line="240" w:lineRule="auto"/>
              <w:jc w:val="center"/>
              <w:rPr>
                <w:rFonts w:ascii="Arial" w:hAnsi="Arial" w:cs="Arial"/>
                <w:sz w:val="20"/>
                <w:szCs w:val="20"/>
                <w:lang w:val="en-US"/>
              </w:rPr>
            </w:pPr>
            <w:r w:rsidRPr="006511E1">
              <w:rPr>
                <w:rFonts w:ascii="Arial" w:hAnsi="Arial" w:cs="Arial"/>
                <w:color w:val="000000"/>
                <w:sz w:val="20"/>
                <w:szCs w:val="20"/>
              </w:rPr>
              <w:t>The Impact of Digital Transformation in Accounting</w:t>
            </w:r>
          </w:p>
        </w:tc>
      </w:tr>
      <w:tr w:rsidR="004066FB" w:rsidRPr="00AE1338" w14:paraId="5D6093AC" w14:textId="77777777" w:rsidTr="004066FB">
        <w:trPr>
          <w:jc w:val="center"/>
        </w:trPr>
        <w:tc>
          <w:tcPr>
            <w:tcW w:w="1696" w:type="dxa"/>
            <w:vAlign w:val="center"/>
          </w:tcPr>
          <w:p w14:paraId="26A32528" w14:textId="11E0A1F0" w:rsidR="004066FB" w:rsidRPr="004066FB"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09:40–10:00</w:t>
            </w:r>
          </w:p>
        </w:tc>
        <w:tc>
          <w:tcPr>
            <w:tcW w:w="1701" w:type="dxa"/>
            <w:vAlign w:val="center"/>
          </w:tcPr>
          <w:p w14:paraId="5BD5360A" w14:textId="36F5CB49" w:rsidR="004066FB" w:rsidRPr="006511E1" w:rsidRDefault="004066FB" w:rsidP="004066FB">
            <w:pPr>
              <w:spacing w:after="0" w:line="240" w:lineRule="auto"/>
              <w:jc w:val="center"/>
              <w:rPr>
                <w:rFonts w:ascii="Arial" w:hAnsi="Arial" w:cs="Arial"/>
                <w:sz w:val="20"/>
                <w:szCs w:val="20"/>
                <w:lang w:val="en-US"/>
              </w:rPr>
            </w:pPr>
            <w:r w:rsidRPr="006511E1">
              <w:rPr>
                <w:rFonts w:ascii="Arial" w:hAnsi="Arial" w:cs="Arial"/>
                <w:color w:val="000000"/>
                <w:sz w:val="20"/>
                <w:szCs w:val="20"/>
              </w:rPr>
              <w:t>12</w:t>
            </w:r>
          </w:p>
        </w:tc>
        <w:tc>
          <w:tcPr>
            <w:tcW w:w="6339" w:type="dxa"/>
            <w:vAlign w:val="center"/>
          </w:tcPr>
          <w:p w14:paraId="1D86F48D" w14:textId="0E847E46" w:rsidR="004066FB" w:rsidRPr="006511E1" w:rsidRDefault="004066FB" w:rsidP="004066FB">
            <w:pPr>
              <w:spacing w:after="0" w:line="240" w:lineRule="auto"/>
              <w:jc w:val="center"/>
              <w:rPr>
                <w:rFonts w:ascii="Arial" w:hAnsi="Arial" w:cs="Arial"/>
                <w:sz w:val="20"/>
                <w:szCs w:val="20"/>
                <w:lang w:val="en-US"/>
              </w:rPr>
            </w:pPr>
            <w:r w:rsidRPr="006511E1">
              <w:rPr>
                <w:rFonts w:ascii="Arial" w:hAnsi="Arial" w:cs="Arial"/>
                <w:color w:val="000000"/>
                <w:sz w:val="20"/>
                <w:szCs w:val="20"/>
              </w:rPr>
              <w:t>A Study of User Motivations and Loyalty Patterns in Digital Music Streaming Landscape</w:t>
            </w:r>
          </w:p>
        </w:tc>
      </w:tr>
      <w:tr w:rsidR="004066FB" w:rsidRPr="00AE1338" w14:paraId="36B5BAAD" w14:textId="77777777" w:rsidTr="004066FB">
        <w:trPr>
          <w:jc w:val="center"/>
        </w:trPr>
        <w:tc>
          <w:tcPr>
            <w:tcW w:w="1696" w:type="dxa"/>
            <w:vAlign w:val="center"/>
          </w:tcPr>
          <w:p w14:paraId="5D0E0E24" w14:textId="329C49D4" w:rsidR="004066FB" w:rsidRPr="004066FB"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10:00–10:20</w:t>
            </w:r>
          </w:p>
        </w:tc>
        <w:tc>
          <w:tcPr>
            <w:tcW w:w="1701" w:type="dxa"/>
            <w:vAlign w:val="center"/>
          </w:tcPr>
          <w:p w14:paraId="7F41610D" w14:textId="0BECF33D" w:rsidR="004066FB" w:rsidRPr="006511E1" w:rsidRDefault="004066FB" w:rsidP="004066FB">
            <w:pPr>
              <w:spacing w:after="0" w:line="240" w:lineRule="auto"/>
              <w:jc w:val="center"/>
              <w:rPr>
                <w:rFonts w:ascii="Arial" w:hAnsi="Arial" w:cs="Arial"/>
                <w:sz w:val="20"/>
                <w:szCs w:val="20"/>
                <w:lang w:val="en-US"/>
              </w:rPr>
            </w:pPr>
            <w:r w:rsidRPr="006511E1">
              <w:rPr>
                <w:rFonts w:ascii="Arial" w:hAnsi="Arial" w:cs="Arial"/>
                <w:color w:val="000000"/>
                <w:sz w:val="20"/>
                <w:szCs w:val="20"/>
              </w:rPr>
              <w:t>13</w:t>
            </w:r>
          </w:p>
        </w:tc>
        <w:tc>
          <w:tcPr>
            <w:tcW w:w="6339" w:type="dxa"/>
            <w:vAlign w:val="center"/>
          </w:tcPr>
          <w:p w14:paraId="0A353819" w14:textId="1C3C1A4B" w:rsidR="004066FB" w:rsidRPr="006511E1" w:rsidRDefault="004066FB" w:rsidP="004066FB">
            <w:pPr>
              <w:spacing w:after="0" w:line="240" w:lineRule="auto"/>
              <w:jc w:val="center"/>
              <w:rPr>
                <w:rFonts w:ascii="Arial" w:hAnsi="Arial" w:cs="Arial"/>
                <w:sz w:val="20"/>
                <w:szCs w:val="20"/>
                <w:lang w:val="en-US"/>
              </w:rPr>
            </w:pPr>
            <w:r w:rsidRPr="006511E1">
              <w:rPr>
                <w:rFonts w:ascii="Arial" w:hAnsi="Arial" w:cs="Arial"/>
                <w:color w:val="000000"/>
                <w:sz w:val="20"/>
                <w:szCs w:val="20"/>
              </w:rPr>
              <w:t>Building Repurchase Intention Through Customer Satisfaction and Customer Engagement Using Influencers in Digital Marketing</w:t>
            </w:r>
          </w:p>
        </w:tc>
      </w:tr>
      <w:tr w:rsidR="004066FB" w:rsidRPr="00AE1338" w14:paraId="736EBC16" w14:textId="77777777" w:rsidTr="004066FB">
        <w:trPr>
          <w:jc w:val="center"/>
        </w:trPr>
        <w:tc>
          <w:tcPr>
            <w:tcW w:w="1696" w:type="dxa"/>
            <w:vAlign w:val="center"/>
          </w:tcPr>
          <w:p w14:paraId="74C73D09" w14:textId="3006D382" w:rsidR="004066FB" w:rsidRPr="004066FB"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10:20–10:40</w:t>
            </w:r>
          </w:p>
        </w:tc>
        <w:tc>
          <w:tcPr>
            <w:tcW w:w="1701" w:type="dxa"/>
            <w:vAlign w:val="center"/>
          </w:tcPr>
          <w:p w14:paraId="1A7D7955" w14:textId="48C96C63" w:rsidR="004066FB" w:rsidRPr="006511E1" w:rsidRDefault="004066FB" w:rsidP="004066FB">
            <w:pPr>
              <w:spacing w:after="0" w:line="240" w:lineRule="auto"/>
              <w:jc w:val="center"/>
              <w:rPr>
                <w:rFonts w:ascii="Arial" w:hAnsi="Arial" w:cs="Arial"/>
                <w:sz w:val="20"/>
                <w:szCs w:val="20"/>
                <w:lang w:val="en-US"/>
              </w:rPr>
            </w:pPr>
            <w:r w:rsidRPr="006511E1">
              <w:rPr>
                <w:rFonts w:ascii="Arial" w:hAnsi="Arial" w:cs="Arial"/>
                <w:color w:val="000000"/>
                <w:sz w:val="20"/>
                <w:szCs w:val="20"/>
              </w:rPr>
              <w:t>18</w:t>
            </w:r>
          </w:p>
        </w:tc>
        <w:tc>
          <w:tcPr>
            <w:tcW w:w="6339" w:type="dxa"/>
            <w:vAlign w:val="center"/>
          </w:tcPr>
          <w:p w14:paraId="5AA47D7B" w14:textId="724FF431" w:rsidR="004066FB" w:rsidRPr="006511E1" w:rsidRDefault="004066FB" w:rsidP="004066FB">
            <w:pPr>
              <w:spacing w:after="0" w:line="240" w:lineRule="auto"/>
              <w:jc w:val="center"/>
              <w:rPr>
                <w:rFonts w:ascii="Arial" w:hAnsi="Arial" w:cs="Arial"/>
                <w:sz w:val="20"/>
                <w:szCs w:val="20"/>
                <w:lang w:val="en-US"/>
              </w:rPr>
            </w:pPr>
            <w:r w:rsidRPr="006511E1">
              <w:rPr>
                <w:rFonts w:ascii="Arial" w:hAnsi="Arial" w:cs="Arial"/>
                <w:color w:val="000000"/>
                <w:sz w:val="20"/>
                <w:szCs w:val="20"/>
              </w:rPr>
              <w:t>Factors Influencing the Use of Accounting Information Systems in Indonesian SMEs</w:t>
            </w:r>
          </w:p>
        </w:tc>
      </w:tr>
      <w:tr w:rsidR="004066FB" w:rsidRPr="00AE1338" w14:paraId="7FC00FF5" w14:textId="77777777" w:rsidTr="004066FB">
        <w:trPr>
          <w:jc w:val="center"/>
        </w:trPr>
        <w:tc>
          <w:tcPr>
            <w:tcW w:w="1696" w:type="dxa"/>
            <w:vAlign w:val="center"/>
          </w:tcPr>
          <w:p w14:paraId="7A32811D" w14:textId="6B1F516B" w:rsidR="004066FB" w:rsidRPr="004066FB"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10:40–11:00</w:t>
            </w:r>
          </w:p>
        </w:tc>
        <w:tc>
          <w:tcPr>
            <w:tcW w:w="1701" w:type="dxa"/>
            <w:vAlign w:val="center"/>
          </w:tcPr>
          <w:p w14:paraId="7E902FBD" w14:textId="00580107" w:rsidR="004066FB" w:rsidRPr="006511E1" w:rsidRDefault="004066FB" w:rsidP="004066FB">
            <w:pPr>
              <w:spacing w:after="0" w:line="240" w:lineRule="auto"/>
              <w:jc w:val="center"/>
              <w:rPr>
                <w:rFonts w:ascii="Arial" w:hAnsi="Arial" w:cs="Arial"/>
                <w:sz w:val="20"/>
                <w:szCs w:val="20"/>
                <w:lang w:val="en-US"/>
              </w:rPr>
            </w:pPr>
            <w:r w:rsidRPr="006511E1">
              <w:rPr>
                <w:rFonts w:ascii="Arial" w:hAnsi="Arial" w:cs="Arial"/>
                <w:color w:val="000000"/>
                <w:sz w:val="20"/>
                <w:szCs w:val="20"/>
              </w:rPr>
              <w:t>19</w:t>
            </w:r>
          </w:p>
        </w:tc>
        <w:tc>
          <w:tcPr>
            <w:tcW w:w="6339" w:type="dxa"/>
            <w:vAlign w:val="center"/>
          </w:tcPr>
          <w:p w14:paraId="7C846FC0" w14:textId="4B2C1B5F" w:rsidR="004066FB" w:rsidRPr="006511E1" w:rsidRDefault="004066FB" w:rsidP="004066FB">
            <w:pPr>
              <w:spacing w:after="0" w:line="240" w:lineRule="auto"/>
              <w:jc w:val="center"/>
              <w:rPr>
                <w:rFonts w:ascii="Arial" w:hAnsi="Arial" w:cs="Arial"/>
                <w:sz w:val="20"/>
                <w:szCs w:val="20"/>
                <w:lang w:val="en-US"/>
              </w:rPr>
            </w:pPr>
            <w:r w:rsidRPr="006511E1">
              <w:rPr>
                <w:rFonts w:ascii="Arial" w:hAnsi="Arial" w:cs="Arial"/>
                <w:color w:val="000000"/>
                <w:sz w:val="20"/>
                <w:szCs w:val="20"/>
              </w:rPr>
              <w:t>Evaluating the Success of e-Office Implementation in Ogan Komering Ilir Regency Using the DeLone and McLean Model</w:t>
            </w:r>
          </w:p>
        </w:tc>
      </w:tr>
      <w:tr w:rsidR="004066FB" w:rsidRPr="00AE1338" w14:paraId="04E09FB8" w14:textId="77777777" w:rsidTr="004066FB">
        <w:trPr>
          <w:jc w:val="center"/>
        </w:trPr>
        <w:tc>
          <w:tcPr>
            <w:tcW w:w="1696" w:type="dxa"/>
            <w:vAlign w:val="center"/>
          </w:tcPr>
          <w:p w14:paraId="063129E9" w14:textId="6C8691F5" w:rsidR="004066FB" w:rsidRPr="004066FB"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11:00–11:20</w:t>
            </w:r>
          </w:p>
        </w:tc>
        <w:tc>
          <w:tcPr>
            <w:tcW w:w="1701" w:type="dxa"/>
            <w:vAlign w:val="center"/>
          </w:tcPr>
          <w:p w14:paraId="27218585" w14:textId="7622DD55" w:rsidR="004066FB" w:rsidRPr="006511E1" w:rsidRDefault="004066FB" w:rsidP="004066FB">
            <w:pPr>
              <w:spacing w:after="0" w:line="240" w:lineRule="auto"/>
              <w:jc w:val="center"/>
              <w:rPr>
                <w:rFonts w:ascii="Arial" w:hAnsi="Arial" w:cs="Arial"/>
                <w:sz w:val="20"/>
                <w:szCs w:val="20"/>
                <w:lang w:val="en-US"/>
              </w:rPr>
            </w:pPr>
            <w:r w:rsidRPr="006511E1">
              <w:rPr>
                <w:rFonts w:ascii="Arial" w:hAnsi="Arial" w:cs="Arial"/>
                <w:color w:val="000000"/>
                <w:sz w:val="20"/>
                <w:szCs w:val="20"/>
              </w:rPr>
              <w:t>26</w:t>
            </w:r>
          </w:p>
        </w:tc>
        <w:tc>
          <w:tcPr>
            <w:tcW w:w="6339" w:type="dxa"/>
            <w:vAlign w:val="center"/>
          </w:tcPr>
          <w:p w14:paraId="4C0C09CB" w14:textId="3291FB98" w:rsidR="004066FB" w:rsidRPr="006511E1" w:rsidRDefault="004066FB" w:rsidP="004066FB">
            <w:pPr>
              <w:spacing w:after="0" w:line="240" w:lineRule="auto"/>
              <w:jc w:val="center"/>
              <w:rPr>
                <w:rFonts w:ascii="Arial" w:hAnsi="Arial" w:cs="Arial"/>
                <w:sz w:val="20"/>
                <w:szCs w:val="20"/>
                <w:lang w:val="en-US"/>
              </w:rPr>
            </w:pPr>
            <w:r w:rsidRPr="006511E1">
              <w:rPr>
                <w:rFonts w:ascii="Arial" w:hAnsi="Arial" w:cs="Arial"/>
                <w:color w:val="000000"/>
                <w:sz w:val="20"/>
                <w:szCs w:val="20"/>
              </w:rPr>
              <w:t>Public Sentiment Analysis Towards the Performance of the Indonesia National Police on X</w:t>
            </w:r>
          </w:p>
        </w:tc>
      </w:tr>
      <w:tr w:rsidR="004066FB" w:rsidRPr="00AE1338" w14:paraId="6E550B37" w14:textId="77777777" w:rsidTr="004066FB">
        <w:trPr>
          <w:jc w:val="center"/>
        </w:trPr>
        <w:tc>
          <w:tcPr>
            <w:tcW w:w="1696" w:type="dxa"/>
            <w:vAlign w:val="center"/>
          </w:tcPr>
          <w:p w14:paraId="385C09B2" w14:textId="1A763D44" w:rsidR="004066FB" w:rsidRPr="004066FB"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11:20–11:40</w:t>
            </w:r>
          </w:p>
        </w:tc>
        <w:tc>
          <w:tcPr>
            <w:tcW w:w="1701" w:type="dxa"/>
            <w:vAlign w:val="center"/>
          </w:tcPr>
          <w:p w14:paraId="3DECBFD1" w14:textId="256DB77C" w:rsidR="004066FB" w:rsidRPr="006511E1" w:rsidRDefault="004066FB" w:rsidP="004066FB">
            <w:pPr>
              <w:spacing w:after="0" w:line="240" w:lineRule="auto"/>
              <w:jc w:val="center"/>
              <w:rPr>
                <w:rFonts w:ascii="Arial" w:hAnsi="Arial" w:cs="Arial"/>
                <w:sz w:val="20"/>
                <w:szCs w:val="20"/>
                <w:lang w:val="en-US"/>
              </w:rPr>
            </w:pPr>
            <w:r w:rsidRPr="006511E1">
              <w:rPr>
                <w:rFonts w:ascii="Arial" w:hAnsi="Arial" w:cs="Arial"/>
                <w:color w:val="000000"/>
                <w:sz w:val="20"/>
                <w:szCs w:val="20"/>
              </w:rPr>
              <w:t>27</w:t>
            </w:r>
          </w:p>
        </w:tc>
        <w:tc>
          <w:tcPr>
            <w:tcW w:w="6339" w:type="dxa"/>
            <w:vAlign w:val="center"/>
          </w:tcPr>
          <w:p w14:paraId="3E8779B6" w14:textId="7D24CB89" w:rsidR="004066FB" w:rsidRPr="006511E1" w:rsidRDefault="004066FB" w:rsidP="004066FB">
            <w:pPr>
              <w:spacing w:after="0" w:line="240" w:lineRule="auto"/>
              <w:jc w:val="center"/>
              <w:rPr>
                <w:rFonts w:ascii="Arial" w:hAnsi="Arial" w:cs="Arial"/>
                <w:sz w:val="20"/>
                <w:szCs w:val="20"/>
                <w:lang w:val="en-US"/>
              </w:rPr>
            </w:pPr>
            <w:r w:rsidRPr="006511E1">
              <w:rPr>
                <w:rFonts w:ascii="Arial" w:hAnsi="Arial" w:cs="Arial"/>
                <w:color w:val="000000"/>
                <w:sz w:val="20"/>
                <w:szCs w:val="20"/>
              </w:rPr>
              <w:t>Factors Driving Continuance Intention to Use AI Chatbots by Student in Indonesia</w:t>
            </w:r>
          </w:p>
        </w:tc>
      </w:tr>
      <w:tr w:rsidR="004066FB" w:rsidRPr="00AE1338" w14:paraId="22AB9FC0" w14:textId="77777777" w:rsidTr="004066FB">
        <w:trPr>
          <w:jc w:val="center"/>
        </w:trPr>
        <w:tc>
          <w:tcPr>
            <w:tcW w:w="1696" w:type="dxa"/>
            <w:vAlign w:val="center"/>
          </w:tcPr>
          <w:p w14:paraId="4F9C1D7D" w14:textId="6E8E4A33" w:rsidR="004066FB" w:rsidRPr="004066FB"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11:40–12:00</w:t>
            </w:r>
          </w:p>
        </w:tc>
        <w:tc>
          <w:tcPr>
            <w:tcW w:w="1701" w:type="dxa"/>
            <w:vAlign w:val="center"/>
          </w:tcPr>
          <w:p w14:paraId="33241C74" w14:textId="07A14F84" w:rsidR="004066FB" w:rsidRPr="006511E1" w:rsidRDefault="004066FB" w:rsidP="004066FB">
            <w:pPr>
              <w:spacing w:after="0" w:line="240" w:lineRule="auto"/>
              <w:jc w:val="center"/>
              <w:rPr>
                <w:rFonts w:ascii="Arial" w:hAnsi="Arial" w:cs="Arial"/>
                <w:sz w:val="20"/>
                <w:szCs w:val="20"/>
                <w:lang w:val="en-US"/>
              </w:rPr>
            </w:pPr>
            <w:r w:rsidRPr="006511E1">
              <w:rPr>
                <w:rFonts w:ascii="Arial" w:hAnsi="Arial" w:cs="Arial"/>
                <w:color w:val="000000"/>
                <w:sz w:val="20"/>
                <w:szCs w:val="20"/>
              </w:rPr>
              <w:t>32</w:t>
            </w:r>
          </w:p>
        </w:tc>
        <w:tc>
          <w:tcPr>
            <w:tcW w:w="6339" w:type="dxa"/>
            <w:vAlign w:val="center"/>
          </w:tcPr>
          <w:p w14:paraId="0B645207" w14:textId="52744176" w:rsidR="004066FB" w:rsidRPr="006511E1" w:rsidRDefault="004066FB" w:rsidP="004066FB">
            <w:pPr>
              <w:spacing w:after="0" w:line="240" w:lineRule="auto"/>
              <w:jc w:val="center"/>
              <w:rPr>
                <w:rFonts w:ascii="Arial" w:hAnsi="Arial" w:cs="Arial"/>
                <w:sz w:val="20"/>
                <w:szCs w:val="20"/>
                <w:lang w:val="en-US"/>
              </w:rPr>
            </w:pPr>
            <w:r w:rsidRPr="006511E1">
              <w:rPr>
                <w:rFonts w:ascii="Arial" w:hAnsi="Arial" w:cs="Arial"/>
                <w:color w:val="000000"/>
                <w:sz w:val="20"/>
                <w:szCs w:val="20"/>
              </w:rPr>
              <w:t>Adoption of Artificial Intelligence in Financial Record-Keeping: A Study on Small Enterprise in Indonesia</w:t>
            </w:r>
          </w:p>
        </w:tc>
      </w:tr>
      <w:tr w:rsidR="004066FB" w:rsidRPr="00AE1338" w14:paraId="303BF8CA" w14:textId="77777777" w:rsidTr="004066FB">
        <w:trPr>
          <w:jc w:val="center"/>
        </w:trPr>
        <w:tc>
          <w:tcPr>
            <w:tcW w:w="1696" w:type="dxa"/>
            <w:vAlign w:val="center"/>
          </w:tcPr>
          <w:p w14:paraId="2D1C4DFC" w14:textId="5DA12660" w:rsidR="004066FB" w:rsidRPr="004066FB"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lastRenderedPageBreak/>
              <w:t>1</w:t>
            </w:r>
            <w:r>
              <w:rPr>
                <w:rFonts w:ascii="Arial" w:hAnsi="Arial" w:cs="Arial"/>
                <w:b/>
                <w:bCs/>
                <w:color w:val="000000"/>
                <w:sz w:val="20"/>
                <w:szCs w:val="20"/>
              </w:rPr>
              <w:t>2</w:t>
            </w:r>
            <w:r w:rsidRPr="004066FB">
              <w:rPr>
                <w:rFonts w:ascii="Arial" w:hAnsi="Arial" w:cs="Arial"/>
                <w:b/>
                <w:bCs/>
                <w:color w:val="000000"/>
                <w:sz w:val="20"/>
                <w:szCs w:val="20"/>
              </w:rPr>
              <w:t>:00–1</w:t>
            </w:r>
            <w:r>
              <w:rPr>
                <w:rFonts w:ascii="Arial" w:hAnsi="Arial" w:cs="Arial"/>
                <w:b/>
                <w:bCs/>
                <w:color w:val="000000"/>
                <w:sz w:val="20"/>
                <w:szCs w:val="20"/>
              </w:rPr>
              <w:t>2</w:t>
            </w:r>
            <w:r w:rsidRPr="004066FB">
              <w:rPr>
                <w:rFonts w:ascii="Arial" w:hAnsi="Arial" w:cs="Arial"/>
                <w:b/>
                <w:bCs/>
                <w:color w:val="000000"/>
                <w:sz w:val="20"/>
                <w:szCs w:val="20"/>
              </w:rPr>
              <w:t>:20</w:t>
            </w:r>
          </w:p>
        </w:tc>
        <w:tc>
          <w:tcPr>
            <w:tcW w:w="1701" w:type="dxa"/>
            <w:vAlign w:val="center"/>
          </w:tcPr>
          <w:p w14:paraId="31E89018" w14:textId="510022C9" w:rsidR="004066FB" w:rsidRPr="006511E1" w:rsidRDefault="004066FB" w:rsidP="004066FB">
            <w:pPr>
              <w:spacing w:after="0" w:line="240" w:lineRule="auto"/>
              <w:jc w:val="center"/>
              <w:rPr>
                <w:rFonts w:ascii="Arial" w:hAnsi="Arial" w:cs="Arial"/>
                <w:sz w:val="20"/>
                <w:szCs w:val="20"/>
                <w:lang w:val="en-US"/>
              </w:rPr>
            </w:pPr>
            <w:r w:rsidRPr="006511E1">
              <w:rPr>
                <w:rFonts w:ascii="Arial" w:hAnsi="Arial" w:cs="Arial"/>
                <w:color w:val="000000"/>
                <w:sz w:val="20"/>
                <w:szCs w:val="20"/>
              </w:rPr>
              <w:t>34</w:t>
            </w:r>
          </w:p>
        </w:tc>
        <w:tc>
          <w:tcPr>
            <w:tcW w:w="6339" w:type="dxa"/>
            <w:vAlign w:val="center"/>
          </w:tcPr>
          <w:p w14:paraId="41ECB080" w14:textId="0D434779" w:rsidR="004066FB" w:rsidRPr="006511E1" w:rsidRDefault="004066FB" w:rsidP="004066FB">
            <w:pPr>
              <w:spacing w:after="0" w:line="240" w:lineRule="auto"/>
              <w:jc w:val="center"/>
              <w:rPr>
                <w:rFonts w:ascii="Arial" w:hAnsi="Arial" w:cs="Arial"/>
                <w:sz w:val="20"/>
                <w:szCs w:val="20"/>
                <w:lang w:val="en-US"/>
              </w:rPr>
            </w:pPr>
            <w:r w:rsidRPr="006511E1">
              <w:rPr>
                <w:rFonts w:ascii="Arial" w:hAnsi="Arial" w:cs="Arial"/>
                <w:color w:val="000000"/>
                <w:sz w:val="20"/>
                <w:szCs w:val="20"/>
              </w:rPr>
              <w:t>Measuring the Impact of Indonesian Public Fiscal Sentiment on Inflation and Exchange Rates: A Study using IndoBERT and OLS Regression</w:t>
            </w:r>
          </w:p>
        </w:tc>
      </w:tr>
      <w:tr w:rsidR="00322FB3" w:rsidRPr="00AE1338" w14:paraId="7D577FAB" w14:textId="77777777" w:rsidTr="004066FB">
        <w:trPr>
          <w:jc w:val="center"/>
        </w:trPr>
        <w:tc>
          <w:tcPr>
            <w:tcW w:w="1696" w:type="dxa"/>
            <w:vAlign w:val="center"/>
          </w:tcPr>
          <w:p w14:paraId="1C641236" w14:textId="76C54E5E" w:rsidR="00322FB3" w:rsidRPr="004066FB" w:rsidRDefault="00A83802" w:rsidP="004066FB">
            <w:pPr>
              <w:spacing w:after="0" w:line="240" w:lineRule="auto"/>
              <w:jc w:val="center"/>
              <w:rPr>
                <w:rFonts w:ascii="Arial" w:hAnsi="Arial" w:cs="Arial"/>
                <w:b/>
                <w:bCs/>
                <w:color w:val="000000"/>
                <w:sz w:val="20"/>
                <w:szCs w:val="20"/>
              </w:rPr>
            </w:pPr>
            <w:r>
              <w:rPr>
                <w:rFonts w:ascii="Arial" w:hAnsi="Arial" w:cs="Arial"/>
                <w:b/>
                <w:bCs/>
                <w:color w:val="000000"/>
                <w:sz w:val="20"/>
                <w:szCs w:val="20"/>
              </w:rPr>
              <w:t>12:20-</w:t>
            </w:r>
            <w:r w:rsidR="00D91CCC">
              <w:rPr>
                <w:rFonts w:ascii="Arial" w:hAnsi="Arial" w:cs="Arial"/>
                <w:b/>
                <w:bCs/>
                <w:color w:val="000000"/>
                <w:sz w:val="20"/>
                <w:szCs w:val="20"/>
              </w:rPr>
              <w:t>12:40</w:t>
            </w:r>
          </w:p>
        </w:tc>
        <w:tc>
          <w:tcPr>
            <w:tcW w:w="1701" w:type="dxa"/>
            <w:vAlign w:val="center"/>
          </w:tcPr>
          <w:p w14:paraId="461B73F7" w14:textId="5321455A" w:rsidR="00322FB3" w:rsidRPr="006511E1" w:rsidRDefault="00A83802" w:rsidP="004066FB">
            <w:pPr>
              <w:spacing w:after="0" w:line="240" w:lineRule="auto"/>
              <w:jc w:val="center"/>
              <w:rPr>
                <w:rFonts w:ascii="Arial" w:hAnsi="Arial" w:cs="Arial"/>
                <w:color w:val="000000"/>
                <w:sz w:val="20"/>
                <w:szCs w:val="20"/>
              </w:rPr>
            </w:pPr>
            <w:r>
              <w:rPr>
                <w:rFonts w:ascii="Arial" w:hAnsi="Arial" w:cs="Arial"/>
                <w:color w:val="000000"/>
                <w:sz w:val="20"/>
                <w:szCs w:val="20"/>
              </w:rPr>
              <w:t>6</w:t>
            </w:r>
          </w:p>
        </w:tc>
        <w:tc>
          <w:tcPr>
            <w:tcW w:w="6339" w:type="dxa"/>
            <w:vAlign w:val="center"/>
          </w:tcPr>
          <w:p w14:paraId="263C961C" w14:textId="1CE8E19C" w:rsidR="00322FB3" w:rsidRPr="006511E1" w:rsidRDefault="00322FB3" w:rsidP="00A83802">
            <w:pPr>
              <w:spacing w:after="0" w:line="240" w:lineRule="auto"/>
              <w:jc w:val="center"/>
              <w:rPr>
                <w:rFonts w:ascii="Arial" w:hAnsi="Arial" w:cs="Arial"/>
                <w:color w:val="000000"/>
                <w:sz w:val="20"/>
                <w:szCs w:val="20"/>
              </w:rPr>
            </w:pPr>
            <w:r w:rsidRPr="00322FB3">
              <w:rPr>
                <w:rFonts w:ascii="Arial" w:hAnsi="Arial" w:cs="Arial"/>
                <w:color w:val="000000"/>
                <w:sz w:val="20"/>
                <w:szCs w:val="20"/>
              </w:rPr>
              <w:t>Cross-National Comparison of Mediation Models on Academic Dishonesty: The Role of Rationalisation and Spirituality in Indonesia and Malaysia</w:t>
            </w:r>
          </w:p>
        </w:tc>
      </w:tr>
      <w:tr w:rsidR="00482EC4" w:rsidRPr="00AE1338" w14:paraId="1908D9E8" w14:textId="77777777" w:rsidTr="004066FB">
        <w:trPr>
          <w:jc w:val="center"/>
        </w:trPr>
        <w:tc>
          <w:tcPr>
            <w:tcW w:w="1696" w:type="dxa"/>
            <w:vAlign w:val="center"/>
          </w:tcPr>
          <w:p w14:paraId="2A059C8D" w14:textId="3D37A42D" w:rsidR="00482EC4" w:rsidRDefault="00482EC4" w:rsidP="004066FB">
            <w:pPr>
              <w:spacing w:after="0" w:line="240" w:lineRule="auto"/>
              <w:jc w:val="center"/>
              <w:rPr>
                <w:rFonts w:ascii="Arial" w:hAnsi="Arial" w:cs="Arial"/>
                <w:b/>
                <w:bCs/>
                <w:color w:val="000000"/>
                <w:sz w:val="20"/>
                <w:szCs w:val="20"/>
              </w:rPr>
            </w:pPr>
            <w:r>
              <w:rPr>
                <w:rFonts w:ascii="Arial" w:hAnsi="Arial" w:cs="Arial"/>
                <w:b/>
                <w:bCs/>
                <w:color w:val="000000"/>
                <w:sz w:val="20"/>
                <w:szCs w:val="20"/>
              </w:rPr>
              <w:t>12:40-13.00</w:t>
            </w:r>
          </w:p>
        </w:tc>
        <w:tc>
          <w:tcPr>
            <w:tcW w:w="1701" w:type="dxa"/>
            <w:vAlign w:val="center"/>
          </w:tcPr>
          <w:p w14:paraId="3453A351" w14:textId="4F2C0C0A" w:rsidR="00482EC4" w:rsidRDefault="00A95F91" w:rsidP="004066FB">
            <w:pPr>
              <w:spacing w:after="0" w:line="240" w:lineRule="auto"/>
              <w:jc w:val="center"/>
              <w:rPr>
                <w:rFonts w:ascii="Arial" w:hAnsi="Arial" w:cs="Arial"/>
                <w:color w:val="000000"/>
                <w:sz w:val="20"/>
                <w:szCs w:val="20"/>
              </w:rPr>
            </w:pPr>
            <w:r>
              <w:rPr>
                <w:rFonts w:ascii="Arial" w:hAnsi="Arial" w:cs="Arial"/>
                <w:color w:val="000000"/>
                <w:sz w:val="20"/>
                <w:szCs w:val="20"/>
              </w:rPr>
              <w:t>163</w:t>
            </w:r>
          </w:p>
        </w:tc>
        <w:tc>
          <w:tcPr>
            <w:tcW w:w="6339" w:type="dxa"/>
            <w:vAlign w:val="center"/>
          </w:tcPr>
          <w:p w14:paraId="07AD28F4" w14:textId="0C0E2154" w:rsidR="00482EC4" w:rsidRPr="00322FB3" w:rsidRDefault="00A95F91" w:rsidP="00A83802">
            <w:pPr>
              <w:spacing w:after="0" w:line="240" w:lineRule="auto"/>
              <w:jc w:val="center"/>
              <w:rPr>
                <w:rFonts w:ascii="Arial" w:hAnsi="Arial" w:cs="Arial"/>
                <w:color w:val="000000"/>
                <w:sz w:val="20"/>
                <w:szCs w:val="20"/>
              </w:rPr>
            </w:pPr>
            <w:r w:rsidRPr="00A95F91">
              <w:rPr>
                <w:rFonts w:ascii="Arial" w:hAnsi="Arial" w:cs="Arial"/>
                <w:color w:val="000000"/>
                <w:sz w:val="20"/>
                <w:szCs w:val="20"/>
              </w:rPr>
              <w:t>Factors Influencing Indonesia’s Young Generations in Interest to Use Digital Investment Applications</w:t>
            </w:r>
          </w:p>
        </w:tc>
      </w:tr>
      <w:tr w:rsidR="00C60735" w:rsidRPr="00AE1338" w14:paraId="0E973F8E" w14:textId="77777777" w:rsidTr="004066FB">
        <w:trPr>
          <w:jc w:val="center"/>
        </w:trPr>
        <w:tc>
          <w:tcPr>
            <w:tcW w:w="1696" w:type="dxa"/>
            <w:vAlign w:val="center"/>
          </w:tcPr>
          <w:p w14:paraId="0A45CE7D" w14:textId="07C487CD" w:rsidR="00C60735" w:rsidRDefault="00C60735" w:rsidP="004066FB">
            <w:pPr>
              <w:spacing w:after="0" w:line="240" w:lineRule="auto"/>
              <w:jc w:val="center"/>
              <w:rPr>
                <w:rFonts w:ascii="Arial" w:hAnsi="Arial" w:cs="Arial"/>
                <w:b/>
                <w:bCs/>
                <w:color w:val="000000"/>
                <w:sz w:val="20"/>
                <w:szCs w:val="20"/>
              </w:rPr>
            </w:pPr>
            <w:r>
              <w:rPr>
                <w:rFonts w:ascii="Arial" w:hAnsi="Arial" w:cs="Arial"/>
                <w:b/>
                <w:bCs/>
                <w:color w:val="000000"/>
                <w:sz w:val="20"/>
                <w:szCs w:val="20"/>
              </w:rPr>
              <w:t>13:00-13:20</w:t>
            </w:r>
          </w:p>
        </w:tc>
        <w:tc>
          <w:tcPr>
            <w:tcW w:w="1701" w:type="dxa"/>
            <w:vAlign w:val="center"/>
          </w:tcPr>
          <w:p w14:paraId="330F481C" w14:textId="740F3937" w:rsidR="00C60735" w:rsidRDefault="00C60735" w:rsidP="004066FB">
            <w:pPr>
              <w:spacing w:after="0" w:line="240" w:lineRule="auto"/>
              <w:jc w:val="center"/>
              <w:rPr>
                <w:rFonts w:ascii="Arial" w:hAnsi="Arial" w:cs="Arial"/>
                <w:color w:val="000000"/>
                <w:sz w:val="20"/>
                <w:szCs w:val="20"/>
              </w:rPr>
            </w:pPr>
            <w:r>
              <w:rPr>
                <w:rFonts w:ascii="Arial" w:hAnsi="Arial" w:cs="Arial"/>
                <w:color w:val="000000"/>
                <w:sz w:val="20"/>
                <w:szCs w:val="20"/>
              </w:rPr>
              <w:t>165</w:t>
            </w:r>
          </w:p>
        </w:tc>
        <w:tc>
          <w:tcPr>
            <w:tcW w:w="6339" w:type="dxa"/>
            <w:vAlign w:val="center"/>
          </w:tcPr>
          <w:p w14:paraId="6C4E3013" w14:textId="4D6D7696" w:rsidR="00C60735" w:rsidRPr="00A95F91" w:rsidRDefault="00C60735" w:rsidP="00A83802">
            <w:pPr>
              <w:spacing w:after="0" w:line="240" w:lineRule="auto"/>
              <w:jc w:val="center"/>
              <w:rPr>
                <w:rFonts w:ascii="Arial" w:hAnsi="Arial" w:cs="Arial"/>
                <w:color w:val="000000"/>
                <w:sz w:val="20"/>
                <w:szCs w:val="20"/>
              </w:rPr>
            </w:pPr>
            <w:r w:rsidRPr="00C60735">
              <w:rPr>
                <w:rFonts w:ascii="Arial" w:hAnsi="Arial" w:cs="Arial"/>
                <w:color w:val="000000"/>
                <w:sz w:val="20"/>
                <w:szCs w:val="20"/>
              </w:rPr>
              <w:t>An AI-Assisted Bot for Automated Evaluation of Software Test Strategy Documents</w:t>
            </w:r>
          </w:p>
        </w:tc>
      </w:tr>
    </w:tbl>
    <w:p w14:paraId="698D9021" w14:textId="77777777" w:rsidR="00D569C1" w:rsidRDefault="00D569C1" w:rsidP="00A51969">
      <w:pPr>
        <w:spacing w:after="0" w:line="240" w:lineRule="auto"/>
        <w:rPr>
          <w:rFonts w:ascii="Arial" w:hAnsi="Arial" w:cs="Arial"/>
          <w:b/>
          <w:bCs/>
          <w:sz w:val="20"/>
          <w:szCs w:val="20"/>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701"/>
        <w:gridCol w:w="6339"/>
      </w:tblGrid>
      <w:tr w:rsidR="00D97111" w:rsidRPr="00AE1338" w14:paraId="158085E9" w14:textId="77777777" w:rsidTr="007C6E48">
        <w:trPr>
          <w:jc w:val="center"/>
        </w:trPr>
        <w:tc>
          <w:tcPr>
            <w:tcW w:w="0" w:type="auto"/>
            <w:gridSpan w:val="3"/>
            <w:vAlign w:val="center"/>
          </w:tcPr>
          <w:p w14:paraId="65C21DA3" w14:textId="77777777" w:rsidR="00C81E16" w:rsidRPr="00AE1338" w:rsidRDefault="00C81E16" w:rsidP="00A51969">
            <w:pPr>
              <w:spacing w:after="0" w:line="240" w:lineRule="auto"/>
              <w:jc w:val="right"/>
              <w:rPr>
                <w:rFonts w:ascii="Arial" w:hAnsi="Arial" w:cs="Arial"/>
                <w:b/>
                <w:bCs/>
                <w:sz w:val="20"/>
                <w:szCs w:val="20"/>
                <w:lang w:val="en-US"/>
              </w:rPr>
            </w:pPr>
            <w:r>
              <w:rPr>
                <w:rFonts w:ascii="Arial" w:hAnsi="Arial" w:cs="Arial"/>
                <w:b/>
                <w:bCs/>
                <w:sz w:val="20"/>
                <w:szCs w:val="20"/>
                <w:lang w:val="en-US"/>
              </w:rPr>
              <w:t>20</w:t>
            </w:r>
            <w:r w:rsidRPr="00AE1338">
              <w:rPr>
                <w:rFonts w:ascii="Arial" w:hAnsi="Arial" w:cs="Arial"/>
                <w:b/>
                <w:bCs/>
                <w:sz w:val="20"/>
                <w:szCs w:val="20"/>
                <w:vertAlign w:val="superscript"/>
                <w:lang w:val="en-US"/>
              </w:rPr>
              <w:t>th</w:t>
            </w:r>
            <w:r w:rsidRPr="00AE1338">
              <w:rPr>
                <w:rFonts w:ascii="Arial" w:hAnsi="Arial" w:cs="Arial"/>
                <w:b/>
                <w:bCs/>
                <w:sz w:val="20"/>
                <w:szCs w:val="20"/>
                <w:lang w:val="en-US"/>
              </w:rPr>
              <w:t xml:space="preserve"> August 2025</w:t>
            </w:r>
          </w:p>
          <w:p w14:paraId="6179FC11" w14:textId="575D9DA5" w:rsidR="00D97111" w:rsidRPr="00AE1338" w:rsidRDefault="00D97111" w:rsidP="00A51969">
            <w:pPr>
              <w:spacing w:after="0" w:line="240" w:lineRule="auto"/>
              <w:jc w:val="center"/>
              <w:rPr>
                <w:rFonts w:ascii="Arial" w:hAnsi="Arial" w:cs="Arial"/>
                <w:b/>
                <w:bCs/>
                <w:sz w:val="20"/>
                <w:szCs w:val="20"/>
                <w:lang w:val="en-US"/>
              </w:rPr>
            </w:pPr>
            <w:r w:rsidRPr="00AE1338">
              <w:rPr>
                <w:rFonts w:ascii="Arial" w:hAnsi="Arial" w:cs="Arial"/>
                <w:b/>
                <w:bCs/>
                <w:sz w:val="20"/>
                <w:szCs w:val="20"/>
                <w:lang w:val="en-US"/>
              </w:rPr>
              <w:t xml:space="preserve">Session </w:t>
            </w:r>
            <w:r>
              <w:rPr>
                <w:rFonts w:ascii="Arial" w:hAnsi="Arial" w:cs="Arial"/>
                <w:b/>
                <w:bCs/>
                <w:sz w:val="20"/>
                <w:szCs w:val="20"/>
                <w:lang w:val="en-US"/>
              </w:rPr>
              <w:t>D</w:t>
            </w:r>
          </w:p>
          <w:p w14:paraId="1FC812FC" w14:textId="4359B7B2" w:rsidR="00D97111" w:rsidRPr="00AE1338" w:rsidRDefault="00D97111" w:rsidP="00A51969">
            <w:pPr>
              <w:spacing w:after="0" w:line="240" w:lineRule="auto"/>
              <w:rPr>
                <w:rFonts w:ascii="Arial" w:hAnsi="Arial" w:cs="Arial"/>
                <w:b/>
                <w:bCs/>
                <w:sz w:val="20"/>
                <w:szCs w:val="20"/>
                <w:lang w:val="en-US"/>
              </w:rPr>
            </w:pPr>
            <w:r w:rsidRPr="00AE1338">
              <w:rPr>
                <w:rFonts w:ascii="Arial" w:hAnsi="Arial" w:cs="Arial"/>
                <w:b/>
                <w:bCs/>
                <w:sz w:val="20"/>
                <w:szCs w:val="20"/>
                <w:lang w:val="en-US"/>
              </w:rPr>
              <w:t>Session Chair:</w:t>
            </w:r>
            <w:r>
              <w:rPr>
                <w:rFonts w:ascii="Arial" w:hAnsi="Arial" w:cs="Arial"/>
                <w:b/>
                <w:bCs/>
                <w:sz w:val="20"/>
                <w:szCs w:val="20"/>
                <w:lang w:val="en-US"/>
              </w:rPr>
              <w:t xml:space="preserve"> </w:t>
            </w:r>
            <w:r w:rsidR="00F953AF" w:rsidRPr="00F953AF">
              <w:rPr>
                <w:rFonts w:ascii="Arial" w:hAnsi="Arial" w:cs="Arial"/>
                <w:b/>
                <w:bCs/>
                <w:sz w:val="20"/>
                <w:szCs w:val="20"/>
                <w:lang w:val="en-US"/>
              </w:rPr>
              <w:t xml:space="preserve">Mochamad Chandra Saputra, </w:t>
            </w:r>
            <w:proofErr w:type="gramStart"/>
            <w:r w:rsidR="00F953AF" w:rsidRPr="00F953AF">
              <w:rPr>
                <w:rFonts w:ascii="Arial" w:hAnsi="Arial" w:cs="Arial"/>
                <w:b/>
                <w:bCs/>
                <w:sz w:val="20"/>
                <w:szCs w:val="20"/>
                <w:lang w:val="en-US"/>
              </w:rPr>
              <w:t>S.Kom</w:t>
            </w:r>
            <w:proofErr w:type="gramEnd"/>
            <w:r w:rsidR="00F953AF" w:rsidRPr="00F953AF">
              <w:rPr>
                <w:rFonts w:ascii="Arial" w:hAnsi="Arial" w:cs="Arial"/>
                <w:b/>
                <w:bCs/>
                <w:sz w:val="20"/>
                <w:szCs w:val="20"/>
                <w:lang w:val="en-US"/>
              </w:rPr>
              <w:t xml:space="preserve">., M. Eng., M.T., </w:t>
            </w:r>
            <w:proofErr w:type="gramStart"/>
            <w:r w:rsidR="00F953AF" w:rsidRPr="00F953AF">
              <w:rPr>
                <w:rFonts w:ascii="Arial" w:hAnsi="Arial" w:cs="Arial"/>
                <w:b/>
                <w:bCs/>
                <w:sz w:val="20"/>
                <w:szCs w:val="20"/>
                <w:lang w:val="en-US"/>
              </w:rPr>
              <w:t>Ph.D</w:t>
            </w:r>
            <w:proofErr w:type="gramEnd"/>
          </w:p>
          <w:p w14:paraId="598D1C38" w14:textId="77777777" w:rsidR="00D97111" w:rsidRPr="00AE1338" w:rsidRDefault="00D97111" w:rsidP="00A51969">
            <w:pPr>
              <w:spacing w:after="0" w:line="240" w:lineRule="auto"/>
              <w:rPr>
                <w:rFonts w:ascii="Arial" w:hAnsi="Arial" w:cs="Arial"/>
                <w:b/>
                <w:bCs/>
                <w:sz w:val="20"/>
                <w:szCs w:val="20"/>
                <w:lang w:val="en-US"/>
              </w:rPr>
            </w:pPr>
            <w:r w:rsidRPr="00AE1338">
              <w:rPr>
                <w:rFonts w:ascii="Arial" w:hAnsi="Arial" w:cs="Arial"/>
                <w:b/>
                <w:bCs/>
                <w:sz w:val="20"/>
                <w:szCs w:val="20"/>
                <w:lang w:val="en-US"/>
              </w:rPr>
              <w:t xml:space="preserve">Location: </w:t>
            </w:r>
            <w:r>
              <w:rPr>
                <w:rFonts w:ascii="Arial" w:hAnsi="Arial" w:cs="Arial"/>
                <w:b/>
                <w:bCs/>
                <w:sz w:val="20"/>
                <w:szCs w:val="20"/>
                <w:lang w:val="en-US"/>
              </w:rPr>
              <w:t xml:space="preserve">Online </w:t>
            </w:r>
          </w:p>
        </w:tc>
      </w:tr>
      <w:tr w:rsidR="004B65CC" w:rsidRPr="00AE1338" w14:paraId="32BE0E78" w14:textId="77777777" w:rsidTr="005A1C5A">
        <w:trPr>
          <w:jc w:val="center"/>
        </w:trPr>
        <w:tc>
          <w:tcPr>
            <w:tcW w:w="1696" w:type="dxa"/>
            <w:vAlign w:val="center"/>
          </w:tcPr>
          <w:p w14:paraId="7E9DEEE4" w14:textId="77777777" w:rsidR="004B65CC" w:rsidRPr="00AE1338" w:rsidRDefault="004B65CC" w:rsidP="00A51969">
            <w:pPr>
              <w:spacing w:after="0" w:line="240" w:lineRule="auto"/>
              <w:jc w:val="center"/>
              <w:rPr>
                <w:rFonts w:ascii="Arial" w:hAnsi="Arial" w:cs="Arial"/>
                <w:b/>
                <w:bCs/>
                <w:sz w:val="20"/>
                <w:szCs w:val="20"/>
                <w:lang w:val="en-US"/>
              </w:rPr>
            </w:pPr>
            <w:r>
              <w:rPr>
                <w:rFonts w:ascii="Arial" w:hAnsi="Arial" w:cs="Arial"/>
                <w:b/>
                <w:bCs/>
                <w:sz w:val="20"/>
                <w:szCs w:val="20"/>
                <w:lang w:val="en-US"/>
              </w:rPr>
              <w:t>Time (Istanbul Turkiye)</w:t>
            </w:r>
          </w:p>
        </w:tc>
        <w:tc>
          <w:tcPr>
            <w:tcW w:w="1701" w:type="dxa"/>
            <w:vAlign w:val="center"/>
          </w:tcPr>
          <w:p w14:paraId="0BE2AA53" w14:textId="3216840E" w:rsidR="004B65CC" w:rsidRPr="00AE1338" w:rsidRDefault="004B65CC" w:rsidP="00A51969">
            <w:pPr>
              <w:spacing w:after="0" w:line="240" w:lineRule="auto"/>
              <w:jc w:val="center"/>
              <w:rPr>
                <w:rFonts w:ascii="Arial" w:hAnsi="Arial" w:cs="Arial"/>
                <w:b/>
                <w:bCs/>
                <w:sz w:val="20"/>
                <w:szCs w:val="20"/>
                <w:lang w:val="en-US"/>
              </w:rPr>
            </w:pPr>
            <w:r w:rsidRPr="00E84230">
              <w:rPr>
                <w:rFonts w:ascii="Arial" w:hAnsi="Arial" w:cs="Arial"/>
                <w:b/>
                <w:bCs/>
                <w:sz w:val="20"/>
                <w:szCs w:val="20"/>
                <w:lang w:val="en-US"/>
              </w:rPr>
              <w:t xml:space="preserve">Paper </w:t>
            </w:r>
            <w:r>
              <w:rPr>
                <w:rFonts w:ascii="Arial" w:hAnsi="Arial" w:cs="Arial"/>
                <w:b/>
                <w:bCs/>
                <w:sz w:val="20"/>
                <w:szCs w:val="20"/>
                <w:lang w:val="en-US"/>
              </w:rPr>
              <w:t>ID</w:t>
            </w:r>
          </w:p>
        </w:tc>
        <w:tc>
          <w:tcPr>
            <w:tcW w:w="6339" w:type="dxa"/>
            <w:vAlign w:val="center"/>
          </w:tcPr>
          <w:p w14:paraId="11ACF19F" w14:textId="154773CF" w:rsidR="004B65CC" w:rsidRPr="00AE1338" w:rsidRDefault="004B65CC" w:rsidP="00A51969">
            <w:pPr>
              <w:spacing w:after="0" w:line="240" w:lineRule="auto"/>
              <w:jc w:val="center"/>
              <w:rPr>
                <w:rFonts w:ascii="Arial" w:hAnsi="Arial" w:cs="Arial"/>
                <w:b/>
                <w:bCs/>
                <w:sz w:val="20"/>
                <w:szCs w:val="20"/>
                <w:lang w:val="en-US"/>
              </w:rPr>
            </w:pPr>
            <w:r w:rsidRPr="00E84230">
              <w:rPr>
                <w:rFonts w:ascii="Arial" w:hAnsi="Arial" w:cs="Arial"/>
                <w:b/>
                <w:bCs/>
                <w:sz w:val="20"/>
                <w:szCs w:val="20"/>
                <w:lang w:val="en-US"/>
              </w:rPr>
              <w:t>Paper</w:t>
            </w:r>
            <w:r>
              <w:rPr>
                <w:rFonts w:ascii="Arial" w:hAnsi="Arial" w:cs="Arial"/>
                <w:b/>
                <w:bCs/>
                <w:sz w:val="20"/>
                <w:szCs w:val="20"/>
                <w:lang w:val="en-US"/>
              </w:rPr>
              <w:t xml:space="preserve"> Title</w:t>
            </w:r>
          </w:p>
        </w:tc>
      </w:tr>
      <w:tr w:rsidR="004066FB" w:rsidRPr="00AE1338" w14:paraId="67669815" w14:textId="77777777" w:rsidTr="005A1C5A">
        <w:trPr>
          <w:jc w:val="center"/>
        </w:trPr>
        <w:tc>
          <w:tcPr>
            <w:tcW w:w="1696" w:type="dxa"/>
            <w:vAlign w:val="center"/>
          </w:tcPr>
          <w:p w14:paraId="403DE3CA" w14:textId="1AD779A3" w:rsidR="004066FB"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09:00–09:20</w:t>
            </w:r>
          </w:p>
        </w:tc>
        <w:tc>
          <w:tcPr>
            <w:tcW w:w="1701" w:type="dxa"/>
            <w:vAlign w:val="center"/>
          </w:tcPr>
          <w:p w14:paraId="2158A031" w14:textId="57B7228F"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38</w:t>
            </w:r>
          </w:p>
        </w:tc>
        <w:tc>
          <w:tcPr>
            <w:tcW w:w="6339" w:type="dxa"/>
            <w:vAlign w:val="center"/>
          </w:tcPr>
          <w:p w14:paraId="6006292D" w14:textId="27B5BE30"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Environmental Management through Technological Dependency: The Role of GHG Intensity and ESG Performance in Firm Value Creation</w:t>
            </w:r>
          </w:p>
        </w:tc>
      </w:tr>
      <w:tr w:rsidR="004066FB" w:rsidRPr="00AE1338" w14:paraId="50ECD85B" w14:textId="77777777" w:rsidTr="005A1C5A">
        <w:trPr>
          <w:jc w:val="center"/>
        </w:trPr>
        <w:tc>
          <w:tcPr>
            <w:tcW w:w="1696" w:type="dxa"/>
            <w:vAlign w:val="center"/>
          </w:tcPr>
          <w:p w14:paraId="65E55DAE" w14:textId="6C48320B"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09:20–09:40</w:t>
            </w:r>
          </w:p>
        </w:tc>
        <w:tc>
          <w:tcPr>
            <w:tcW w:w="1701" w:type="dxa"/>
            <w:vAlign w:val="center"/>
          </w:tcPr>
          <w:p w14:paraId="2B47C650" w14:textId="024E030B"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40</w:t>
            </w:r>
          </w:p>
        </w:tc>
        <w:tc>
          <w:tcPr>
            <w:tcW w:w="6339" w:type="dxa"/>
            <w:vAlign w:val="center"/>
          </w:tcPr>
          <w:p w14:paraId="7B8FA654" w14:textId="05D77B0A"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Fuzzy PID-based Controller of Multi-joints Lower limb Exoskeleton Robot</w:t>
            </w:r>
          </w:p>
        </w:tc>
      </w:tr>
      <w:tr w:rsidR="004066FB" w:rsidRPr="00AE1338" w14:paraId="6F16411B" w14:textId="77777777" w:rsidTr="005A1C5A">
        <w:trPr>
          <w:jc w:val="center"/>
        </w:trPr>
        <w:tc>
          <w:tcPr>
            <w:tcW w:w="1696" w:type="dxa"/>
            <w:vAlign w:val="center"/>
          </w:tcPr>
          <w:p w14:paraId="2934EDDB" w14:textId="39A73D17"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09:40–10:00</w:t>
            </w:r>
          </w:p>
        </w:tc>
        <w:tc>
          <w:tcPr>
            <w:tcW w:w="1701" w:type="dxa"/>
            <w:vAlign w:val="center"/>
          </w:tcPr>
          <w:p w14:paraId="6E95B961" w14:textId="3697F166"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42</w:t>
            </w:r>
          </w:p>
        </w:tc>
        <w:tc>
          <w:tcPr>
            <w:tcW w:w="6339" w:type="dxa"/>
            <w:vAlign w:val="center"/>
          </w:tcPr>
          <w:p w14:paraId="00F5C1BE" w14:textId="7E149A75"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Designing of Academic System Enterprise Architecture Using TOGAF Framework: A Case of Indonesia Educational Foundation</w:t>
            </w:r>
          </w:p>
        </w:tc>
      </w:tr>
      <w:tr w:rsidR="004066FB" w:rsidRPr="00AE1338" w14:paraId="29164A09" w14:textId="77777777" w:rsidTr="005A1C5A">
        <w:trPr>
          <w:jc w:val="center"/>
        </w:trPr>
        <w:tc>
          <w:tcPr>
            <w:tcW w:w="1696" w:type="dxa"/>
            <w:vAlign w:val="center"/>
          </w:tcPr>
          <w:p w14:paraId="43CC93A8" w14:textId="1AA2B0B6"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10:00–10:20</w:t>
            </w:r>
          </w:p>
        </w:tc>
        <w:tc>
          <w:tcPr>
            <w:tcW w:w="1701" w:type="dxa"/>
            <w:vAlign w:val="center"/>
          </w:tcPr>
          <w:p w14:paraId="1A497A29" w14:textId="77766CD7"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43</w:t>
            </w:r>
          </w:p>
        </w:tc>
        <w:tc>
          <w:tcPr>
            <w:tcW w:w="6339" w:type="dxa"/>
            <w:vAlign w:val="center"/>
          </w:tcPr>
          <w:p w14:paraId="0FE0407A" w14:textId="153A7B5B"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Towards Real-Time Inventory Visibility: An RFID–IoT Conceptual Design for SMEs</w:t>
            </w:r>
          </w:p>
        </w:tc>
      </w:tr>
      <w:tr w:rsidR="004066FB" w:rsidRPr="00AE1338" w14:paraId="086A0C5C" w14:textId="77777777" w:rsidTr="005A1C5A">
        <w:trPr>
          <w:jc w:val="center"/>
        </w:trPr>
        <w:tc>
          <w:tcPr>
            <w:tcW w:w="1696" w:type="dxa"/>
            <w:vAlign w:val="center"/>
          </w:tcPr>
          <w:p w14:paraId="5722FA35" w14:textId="3C9BE5C8"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10:20–10:40</w:t>
            </w:r>
          </w:p>
        </w:tc>
        <w:tc>
          <w:tcPr>
            <w:tcW w:w="1701" w:type="dxa"/>
            <w:vAlign w:val="center"/>
          </w:tcPr>
          <w:p w14:paraId="73E5B345" w14:textId="7F9B0049"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44</w:t>
            </w:r>
          </w:p>
        </w:tc>
        <w:tc>
          <w:tcPr>
            <w:tcW w:w="6339" w:type="dxa"/>
            <w:vAlign w:val="center"/>
          </w:tcPr>
          <w:p w14:paraId="4E1B4D1C" w14:textId="7866F37E"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AI Agent for WhatsApp Order Fulfillment in Hardware and Material SMEs Using Agentic AI</w:t>
            </w:r>
          </w:p>
        </w:tc>
      </w:tr>
      <w:tr w:rsidR="004066FB" w:rsidRPr="00AE1338" w14:paraId="1A590D50" w14:textId="77777777" w:rsidTr="005A1C5A">
        <w:trPr>
          <w:jc w:val="center"/>
        </w:trPr>
        <w:tc>
          <w:tcPr>
            <w:tcW w:w="1696" w:type="dxa"/>
            <w:vAlign w:val="center"/>
          </w:tcPr>
          <w:p w14:paraId="6768C916" w14:textId="5BB14F12"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10:40–11:00</w:t>
            </w:r>
          </w:p>
        </w:tc>
        <w:tc>
          <w:tcPr>
            <w:tcW w:w="1701" w:type="dxa"/>
            <w:vAlign w:val="center"/>
          </w:tcPr>
          <w:p w14:paraId="39F73C84" w14:textId="20981619"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46</w:t>
            </w:r>
          </w:p>
        </w:tc>
        <w:tc>
          <w:tcPr>
            <w:tcW w:w="6339" w:type="dxa"/>
            <w:vAlign w:val="center"/>
          </w:tcPr>
          <w:p w14:paraId="5CD96087" w14:textId="05947129"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The Impact of Risk, Self-Efficacy, and Social Factors on the Adoption and Use of Healthy Lifestyle Applications</w:t>
            </w:r>
          </w:p>
        </w:tc>
      </w:tr>
      <w:tr w:rsidR="004066FB" w:rsidRPr="00AE1338" w14:paraId="1B8D6B80" w14:textId="77777777" w:rsidTr="005A1C5A">
        <w:trPr>
          <w:jc w:val="center"/>
        </w:trPr>
        <w:tc>
          <w:tcPr>
            <w:tcW w:w="1696" w:type="dxa"/>
            <w:vAlign w:val="center"/>
          </w:tcPr>
          <w:p w14:paraId="6560699C" w14:textId="15CB35A3"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11:00–11:20</w:t>
            </w:r>
          </w:p>
        </w:tc>
        <w:tc>
          <w:tcPr>
            <w:tcW w:w="1701" w:type="dxa"/>
            <w:vAlign w:val="center"/>
          </w:tcPr>
          <w:p w14:paraId="3EC084AD" w14:textId="2AC5EE97"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49</w:t>
            </w:r>
          </w:p>
        </w:tc>
        <w:tc>
          <w:tcPr>
            <w:tcW w:w="6339" w:type="dxa"/>
            <w:vAlign w:val="center"/>
          </w:tcPr>
          <w:p w14:paraId="7AAEB61D" w14:textId="71CB884C"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 xml:space="preserve">Sentiment Analysis </w:t>
            </w:r>
            <w:proofErr w:type="gramStart"/>
            <w:r>
              <w:rPr>
                <w:rFonts w:ascii="Arial" w:hAnsi="Arial" w:cs="Arial"/>
                <w:color w:val="000000"/>
                <w:sz w:val="20"/>
                <w:szCs w:val="20"/>
              </w:rPr>
              <w:t>Of</w:t>
            </w:r>
            <w:proofErr w:type="gramEnd"/>
            <w:r>
              <w:rPr>
                <w:rFonts w:ascii="Arial" w:hAnsi="Arial" w:cs="Arial"/>
                <w:color w:val="000000"/>
                <w:sz w:val="20"/>
                <w:szCs w:val="20"/>
              </w:rPr>
              <w:t xml:space="preserve"> Twitter/X Users Toward The #KABURAJADULU Phenomenon Using Support Vector Machine </w:t>
            </w:r>
            <w:proofErr w:type="gramStart"/>
            <w:r>
              <w:rPr>
                <w:rFonts w:ascii="Arial" w:hAnsi="Arial" w:cs="Arial"/>
                <w:color w:val="000000"/>
                <w:sz w:val="20"/>
                <w:szCs w:val="20"/>
              </w:rPr>
              <w:t>And</w:t>
            </w:r>
            <w:proofErr w:type="gramEnd"/>
            <w:r>
              <w:rPr>
                <w:rFonts w:ascii="Arial" w:hAnsi="Arial" w:cs="Arial"/>
                <w:color w:val="000000"/>
                <w:sz w:val="20"/>
                <w:szCs w:val="20"/>
              </w:rPr>
              <w:t xml:space="preserve"> Indobert Embedding</w:t>
            </w:r>
          </w:p>
        </w:tc>
      </w:tr>
      <w:tr w:rsidR="004066FB" w:rsidRPr="00AE1338" w14:paraId="18C668DB" w14:textId="77777777" w:rsidTr="005A1C5A">
        <w:trPr>
          <w:jc w:val="center"/>
        </w:trPr>
        <w:tc>
          <w:tcPr>
            <w:tcW w:w="1696" w:type="dxa"/>
            <w:vAlign w:val="center"/>
          </w:tcPr>
          <w:p w14:paraId="1B61D5CF" w14:textId="28B84D79"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11:20–11:40</w:t>
            </w:r>
          </w:p>
        </w:tc>
        <w:tc>
          <w:tcPr>
            <w:tcW w:w="1701" w:type="dxa"/>
            <w:vAlign w:val="center"/>
          </w:tcPr>
          <w:p w14:paraId="1354248B" w14:textId="7E42A803"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51</w:t>
            </w:r>
          </w:p>
        </w:tc>
        <w:tc>
          <w:tcPr>
            <w:tcW w:w="6339" w:type="dxa"/>
            <w:vAlign w:val="center"/>
          </w:tcPr>
          <w:p w14:paraId="1E0AA0C5" w14:textId="5E347765"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Determinants of Generation Z’s Behavioral Intention Toward Crypto Trading Applications in Indonesia</w:t>
            </w:r>
          </w:p>
        </w:tc>
      </w:tr>
      <w:tr w:rsidR="004066FB" w:rsidRPr="00AE1338" w14:paraId="4D87F089" w14:textId="77777777" w:rsidTr="005A1C5A">
        <w:trPr>
          <w:jc w:val="center"/>
        </w:trPr>
        <w:tc>
          <w:tcPr>
            <w:tcW w:w="1696" w:type="dxa"/>
            <w:vAlign w:val="center"/>
          </w:tcPr>
          <w:p w14:paraId="0EB15162" w14:textId="09D797D2"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11:40–12:00</w:t>
            </w:r>
          </w:p>
        </w:tc>
        <w:tc>
          <w:tcPr>
            <w:tcW w:w="1701" w:type="dxa"/>
            <w:vAlign w:val="center"/>
          </w:tcPr>
          <w:p w14:paraId="438BDC71" w14:textId="1DD544B8"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60</w:t>
            </w:r>
          </w:p>
        </w:tc>
        <w:tc>
          <w:tcPr>
            <w:tcW w:w="6339" w:type="dxa"/>
            <w:vAlign w:val="center"/>
          </w:tcPr>
          <w:p w14:paraId="6794AB99" w14:textId="19BA1752"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Analysis of the Influence of Live Commerce Strategy on Impulsive Buying Behaviour</w:t>
            </w:r>
          </w:p>
        </w:tc>
      </w:tr>
      <w:tr w:rsidR="004066FB" w:rsidRPr="00AE1338" w14:paraId="3C4E73AF" w14:textId="77777777" w:rsidTr="005A1C5A">
        <w:trPr>
          <w:jc w:val="center"/>
        </w:trPr>
        <w:tc>
          <w:tcPr>
            <w:tcW w:w="1696" w:type="dxa"/>
            <w:vAlign w:val="center"/>
          </w:tcPr>
          <w:p w14:paraId="73239D72" w14:textId="181E8A72"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w:t>
            </w:r>
            <w:r>
              <w:rPr>
                <w:rFonts w:ascii="Arial" w:hAnsi="Arial" w:cs="Arial"/>
                <w:b/>
                <w:bCs/>
                <w:color w:val="000000"/>
                <w:sz w:val="20"/>
                <w:szCs w:val="20"/>
              </w:rPr>
              <w:t>2</w:t>
            </w:r>
            <w:r w:rsidRPr="004066FB">
              <w:rPr>
                <w:rFonts w:ascii="Arial" w:hAnsi="Arial" w:cs="Arial"/>
                <w:b/>
                <w:bCs/>
                <w:color w:val="000000"/>
                <w:sz w:val="20"/>
                <w:szCs w:val="20"/>
              </w:rPr>
              <w:t>:00–1</w:t>
            </w:r>
            <w:r>
              <w:rPr>
                <w:rFonts w:ascii="Arial" w:hAnsi="Arial" w:cs="Arial"/>
                <w:b/>
                <w:bCs/>
                <w:color w:val="000000"/>
                <w:sz w:val="20"/>
                <w:szCs w:val="20"/>
              </w:rPr>
              <w:t>2</w:t>
            </w:r>
            <w:r w:rsidRPr="004066FB">
              <w:rPr>
                <w:rFonts w:ascii="Arial" w:hAnsi="Arial" w:cs="Arial"/>
                <w:b/>
                <w:bCs/>
                <w:color w:val="000000"/>
                <w:sz w:val="20"/>
                <w:szCs w:val="20"/>
              </w:rPr>
              <w:t>:20</w:t>
            </w:r>
          </w:p>
        </w:tc>
        <w:tc>
          <w:tcPr>
            <w:tcW w:w="1701" w:type="dxa"/>
            <w:vAlign w:val="center"/>
          </w:tcPr>
          <w:p w14:paraId="385C0AE9" w14:textId="131D5B6A"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61</w:t>
            </w:r>
          </w:p>
        </w:tc>
        <w:tc>
          <w:tcPr>
            <w:tcW w:w="6339" w:type="dxa"/>
            <w:vAlign w:val="center"/>
          </w:tcPr>
          <w:p w14:paraId="3E1B6715" w14:textId="6848B4F1"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Behavioral Intention to Use Mobile App in the Greater Jakarta</w:t>
            </w:r>
          </w:p>
        </w:tc>
      </w:tr>
      <w:tr w:rsidR="00482EC4" w:rsidRPr="00AE1338" w14:paraId="4C3196FA" w14:textId="77777777" w:rsidTr="005A1C5A">
        <w:trPr>
          <w:jc w:val="center"/>
        </w:trPr>
        <w:tc>
          <w:tcPr>
            <w:tcW w:w="1696" w:type="dxa"/>
            <w:vAlign w:val="center"/>
          </w:tcPr>
          <w:p w14:paraId="194FC5B0" w14:textId="79FA6D02" w:rsidR="00482EC4" w:rsidRPr="004066FB" w:rsidRDefault="00482EC4" w:rsidP="004066FB">
            <w:pPr>
              <w:spacing w:after="0" w:line="240" w:lineRule="auto"/>
              <w:jc w:val="center"/>
              <w:rPr>
                <w:rFonts w:ascii="Arial" w:hAnsi="Arial" w:cs="Arial"/>
                <w:b/>
                <w:bCs/>
                <w:color w:val="000000"/>
                <w:sz w:val="20"/>
                <w:szCs w:val="20"/>
              </w:rPr>
            </w:pPr>
            <w:r>
              <w:rPr>
                <w:rFonts w:ascii="Arial" w:hAnsi="Arial" w:cs="Arial"/>
                <w:b/>
                <w:bCs/>
                <w:color w:val="000000"/>
                <w:sz w:val="20"/>
                <w:szCs w:val="20"/>
              </w:rPr>
              <w:t>12:20-1</w:t>
            </w:r>
            <w:r w:rsidR="00A95F91">
              <w:rPr>
                <w:rFonts w:ascii="Arial" w:hAnsi="Arial" w:cs="Arial"/>
                <w:b/>
                <w:bCs/>
                <w:color w:val="000000"/>
                <w:sz w:val="20"/>
                <w:szCs w:val="20"/>
              </w:rPr>
              <w:t>2</w:t>
            </w:r>
            <w:r>
              <w:rPr>
                <w:rFonts w:ascii="Arial" w:hAnsi="Arial" w:cs="Arial"/>
                <w:b/>
                <w:bCs/>
                <w:color w:val="000000"/>
                <w:sz w:val="20"/>
                <w:szCs w:val="20"/>
              </w:rPr>
              <w:t>:</w:t>
            </w:r>
            <w:r w:rsidR="00A95F91">
              <w:rPr>
                <w:rFonts w:ascii="Arial" w:hAnsi="Arial" w:cs="Arial"/>
                <w:b/>
                <w:bCs/>
                <w:color w:val="000000"/>
                <w:sz w:val="20"/>
                <w:szCs w:val="20"/>
              </w:rPr>
              <w:t>4</w:t>
            </w:r>
            <w:r>
              <w:rPr>
                <w:rFonts w:ascii="Arial" w:hAnsi="Arial" w:cs="Arial"/>
                <w:b/>
                <w:bCs/>
                <w:color w:val="000000"/>
                <w:sz w:val="20"/>
                <w:szCs w:val="20"/>
              </w:rPr>
              <w:t>0</w:t>
            </w:r>
          </w:p>
        </w:tc>
        <w:tc>
          <w:tcPr>
            <w:tcW w:w="1701" w:type="dxa"/>
            <w:vAlign w:val="center"/>
          </w:tcPr>
          <w:p w14:paraId="245FA3D1" w14:textId="0E7C6A92" w:rsidR="00482EC4" w:rsidRDefault="00482EC4" w:rsidP="004066FB">
            <w:pPr>
              <w:spacing w:after="0" w:line="240" w:lineRule="auto"/>
              <w:jc w:val="center"/>
              <w:rPr>
                <w:rFonts w:ascii="Arial" w:hAnsi="Arial" w:cs="Arial"/>
                <w:color w:val="000000"/>
                <w:sz w:val="20"/>
                <w:szCs w:val="20"/>
              </w:rPr>
            </w:pPr>
            <w:r>
              <w:rPr>
                <w:rFonts w:ascii="Arial" w:hAnsi="Arial" w:cs="Arial"/>
                <w:color w:val="000000"/>
                <w:sz w:val="20"/>
                <w:szCs w:val="20"/>
              </w:rPr>
              <w:t>94</w:t>
            </w:r>
          </w:p>
        </w:tc>
        <w:tc>
          <w:tcPr>
            <w:tcW w:w="6339" w:type="dxa"/>
            <w:vAlign w:val="center"/>
          </w:tcPr>
          <w:p w14:paraId="041C4938" w14:textId="3DF49BE4" w:rsidR="00482EC4" w:rsidRDefault="00482EC4" w:rsidP="00482EC4">
            <w:pPr>
              <w:spacing w:after="0" w:line="240" w:lineRule="auto"/>
              <w:jc w:val="center"/>
              <w:rPr>
                <w:rFonts w:ascii="Arial" w:hAnsi="Arial" w:cs="Arial"/>
                <w:color w:val="000000"/>
                <w:sz w:val="20"/>
                <w:szCs w:val="20"/>
              </w:rPr>
            </w:pPr>
            <w:r w:rsidRPr="00482EC4">
              <w:rPr>
                <w:rFonts w:ascii="Arial" w:hAnsi="Arial" w:cs="Arial"/>
                <w:color w:val="000000"/>
                <w:sz w:val="20"/>
                <w:szCs w:val="20"/>
              </w:rPr>
              <w:t>Health Misinformation Susceptibility and Health Behaviour in Developing Countries: A PLS-SEM Study</w:t>
            </w:r>
          </w:p>
        </w:tc>
      </w:tr>
      <w:tr w:rsidR="00A95F91" w:rsidRPr="00AE1338" w14:paraId="30D9A188" w14:textId="77777777" w:rsidTr="005A1C5A">
        <w:trPr>
          <w:jc w:val="center"/>
        </w:trPr>
        <w:tc>
          <w:tcPr>
            <w:tcW w:w="1696" w:type="dxa"/>
            <w:vAlign w:val="center"/>
          </w:tcPr>
          <w:p w14:paraId="1510EC05" w14:textId="6DD6E925" w:rsidR="00A95F91" w:rsidRDefault="00A95F91" w:rsidP="004066FB">
            <w:pPr>
              <w:spacing w:after="0" w:line="240" w:lineRule="auto"/>
              <w:jc w:val="center"/>
              <w:rPr>
                <w:rFonts w:ascii="Arial" w:hAnsi="Arial" w:cs="Arial"/>
                <w:b/>
                <w:bCs/>
                <w:color w:val="000000"/>
                <w:sz w:val="20"/>
                <w:szCs w:val="20"/>
              </w:rPr>
            </w:pPr>
            <w:r>
              <w:rPr>
                <w:rFonts w:ascii="Arial" w:hAnsi="Arial" w:cs="Arial"/>
                <w:b/>
                <w:bCs/>
                <w:color w:val="000000"/>
                <w:sz w:val="20"/>
                <w:szCs w:val="20"/>
              </w:rPr>
              <w:t>12:40-13:00</w:t>
            </w:r>
          </w:p>
        </w:tc>
        <w:tc>
          <w:tcPr>
            <w:tcW w:w="1701" w:type="dxa"/>
            <w:vAlign w:val="center"/>
          </w:tcPr>
          <w:p w14:paraId="453B3390" w14:textId="6F29686A" w:rsidR="00A95F91" w:rsidRDefault="00A95F91" w:rsidP="004066FB">
            <w:pPr>
              <w:spacing w:after="0" w:line="240" w:lineRule="auto"/>
              <w:jc w:val="center"/>
              <w:rPr>
                <w:rFonts w:ascii="Arial" w:hAnsi="Arial" w:cs="Arial"/>
                <w:color w:val="000000"/>
                <w:sz w:val="20"/>
                <w:szCs w:val="20"/>
              </w:rPr>
            </w:pPr>
            <w:r>
              <w:rPr>
                <w:rFonts w:ascii="Arial" w:hAnsi="Arial" w:cs="Arial"/>
                <w:color w:val="000000"/>
                <w:sz w:val="20"/>
                <w:szCs w:val="20"/>
              </w:rPr>
              <w:t>90</w:t>
            </w:r>
          </w:p>
        </w:tc>
        <w:tc>
          <w:tcPr>
            <w:tcW w:w="6339" w:type="dxa"/>
            <w:vAlign w:val="center"/>
          </w:tcPr>
          <w:p w14:paraId="0B35FA8D" w14:textId="294BA5E4" w:rsidR="00A95F91" w:rsidRPr="00482EC4" w:rsidRDefault="00A95F91" w:rsidP="00482EC4">
            <w:pPr>
              <w:spacing w:after="0" w:line="240" w:lineRule="auto"/>
              <w:jc w:val="center"/>
              <w:rPr>
                <w:rFonts w:ascii="Arial" w:hAnsi="Arial" w:cs="Arial"/>
                <w:color w:val="000000"/>
                <w:sz w:val="20"/>
                <w:szCs w:val="20"/>
              </w:rPr>
            </w:pPr>
            <w:r w:rsidRPr="00A95F91">
              <w:rPr>
                <w:rFonts w:ascii="Arial" w:hAnsi="Arial" w:cs="Arial"/>
                <w:color w:val="000000"/>
                <w:sz w:val="20"/>
                <w:szCs w:val="20"/>
              </w:rPr>
              <w:t>Data Sovereignty and the Hidden Barriers to Generative AI Adoption in the Public Sector</w:t>
            </w:r>
          </w:p>
        </w:tc>
      </w:tr>
      <w:tr w:rsidR="00E834E5" w:rsidRPr="00AE1338" w14:paraId="41AEF8A5" w14:textId="77777777" w:rsidTr="005A1C5A">
        <w:trPr>
          <w:jc w:val="center"/>
        </w:trPr>
        <w:tc>
          <w:tcPr>
            <w:tcW w:w="1696" w:type="dxa"/>
            <w:vAlign w:val="center"/>
          </w:tcPr>
          <w:p w14:paraId="01BED0BA" w14:textId="0CCAA3B7" w:rsidR="00E834E5" w:rsidRDefault="00E834E5" w:rsidP="004066FB">
            <w:pPr>
              <w:spacing w:after="0" w:line="240" w:lineRule="auto"/>
              <w:jc w:val="center"/>
              <w:rPr>
                <w:rFonts w:ascii="Arial" w:hAnsi="Arial" w:cs="Arial"/>
                <w:b/>
                <w:bCs/>
                <w:color w:val="000000"/>
                <w:sz w:val="20"/>
                <w:szCs w:val="20"/>
              </w:rPr>
            </w:pPr>
            <w:r>
              <w:rPr>
                <w:rFonts w:ascii="Arial" w:hAnsi="Arial" w:cs="Arial"/>
                <w:b/>
                <w:bCs/>
                <w:color w:val="000000"/>
                <w:sz w:val="20"/>
                <w:szCs w:val="20"/>
              </w:rPr>
              <w:t>13:00-13:20</w:t>
            </w:r>
          </w:p>
        </w:tc>
        <w:tc>
          <w:tcPr>
            <w:tcW w:w="1701" w:type="dxa"/>
            <w:vAlign w:val="center"/>
          </w:tcPr>
          <w:p w14:paraId="105A284B" w14:textId="0206F0DF" w:rsidR="00E834E5" w:rsidRDefault="00E834E5" w:rsidP="004066FB">
            <w:pPr>
              <w:spacing w:after="0" w:line="240" w:lineRule="auto"/>
              <w:jc w:val="center"/>
              <w:rPr>
                <w:rFonts w:ascii="Arial" w:hAnsi="Arial" w:cs="Arial"/>
                <w:color w:val="000000"/>
                <w:sz w:val="20"/>
                <w:szCs w:val="20"/>
              </w:rPr>
            </w:pPr>
            <w:r>
              <w:rPr>
                <w:rFonts w:ascii="Arial" w:hAnsi="Arial" w:cs="Arial"/>
                <w:color w:val="000000"/>
                <w:sz w:val="20"/>
                <w:szCs w:val="20"/>
              </w:rPr>
              <w:t>198</w:t>
            </w:r>
          </w:p>
        </w:tc>
        <w:tc>
          <w:tcPr>
            <w:tcW w:w="6339" w:type="dxa"/>
            <w:vAlign w:val="center"/>
          </w:tcPr>
          <w:p w14:paraId="6DC88BFA" w14:textId="5F534AE4" w:rsidR="00E834E5" w:rsidRPr="00A95F91" w:rsidRDefault="00E834E5" w:rsidP="00E834E5">
            <w:pPr>
              <w:spacing w:after="0" w:line="240" w:lineRule="auto"/>
              <w:rPr>
                <w:rFonts w:ascii="Arial" w:hAnsi="Arial" w:cs="Arial"/>
                <w:color w:val="000000"/>
                <w:sz w:val="20"/>
                <w:szCs w:val="20"/>
              </w:rPr>
            </w:pPr>
            <w:r w:rsidRPr="00E834E5">
              <w:rPr>
                <w:rFonts w:ascii="Arial" w:hAnsi="Arial" w:cs="Arial"/>
                <w:color w:val="000000"/>
                <w:sz w:val="20"/>
                <w:szCs w:val="20"/>
              </w:rPr>
              <w:tab/>
              <w:t>Software Testing AI Agents for Test Process Efficiency</w:t>
            </w:r>
          </w:p>
        </w:tc>
      </w:tr>
    </w:tbl>
    <w:p w14:paraId="018EF84E" w14:textId="77777777" w:rsidR="00D97111" w:rsidRDefault="00D97111" w:rsidP="00A51969">
      <w:pPr>
        <w:spacing w:after="0" w:line="240" w:lineRule="auto"/>
        <w:rPr>
          <w:rFonts w:ascii="Arial" w:hAnsi="Arial" w:cs="Arial"/>
          <w:b/>
          <w:bCs/>
          <w:sz w:val="20"/>
          <w:szCs w:val="20"/>
          <w:lang w:val="en-US"/>
        </w:rPr>
      </w:pPr>
    </w:p>
    <w:p w14:paraId="626A7ED6" w14:textId="77777777" w:rsidR="005A1C5A" w:rsidRDefault="005A1C5A" w:rsidP="00A51969">
      <w:pPr>
        <w:spacing w:after="0" w:line="240" w:lineRule="auto"/>
        <w:rPr>
          <w:rFonts w:ascii="Arial" w:hAnsi="Arial" w:cs="Arial"/>
          <w:b/>
          <w:bCs/>
          <w:sz w:val="20"/>
          <w:szCs w:val="20"/>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701"/>
        <w:gridCol w:w="6339"/>
      </w:tblGrid>
      <w:tr w:rsidR="00630940" w:rsidRPr="00AE1338" w14:paraId="0BA08AC9" w14:textId="77777777" w:rsidTr="007C6E48">
        <w:trPr>
          <w:jc w:val="center"/>
        </w:trPr>
        <w:tc>
          <w:tcPr>
            <w:tcW w:w="0" w:type="auto"/>
            <w:gridSpan w:val="3"/>
            <w:vAlign w:val="center"/>
          </w:tcPr>
          <w:p w14:paraId="23D96345" w14:textId="77777777" w:rsidR="00C81E16" w:rsidRPr="00AE1338" w:rsidRDefault="00C81E16" w:rsidP="00A51969">
            <w:pPr>
              <w:spacing w:after="0" w:line="240" w:lineRule="auto"/>
              <w:jc w:val="right"/>
              <w:rPr>
                <w:rFonts w:ascii="Arial" w:hAnsi="Arial" w:cs="Arial"/>
                <w:b/>
                <w:bCs/>
                <w:sz w:val="20"/>
                <w:szCs w:val="20"/>
                <w:lang w:val="en-US"/>
              </w:rPr>
            </w:pPr>
            <w:r>
              <w:rPr>
                <w:rFonts w:ascii="Arial" w:hAnsi="Arial" w:cs="Arial"/>
                <w:b/>
                <w:bCs/>
                <w:sz w:val="20"/>
                <w:szCs w:val="20"/>
                <w:lang w:val="en-US"/>
              </w:rPr>
              <w:t>20</w:t>
            </w:r>
            <w:r w:rsidRPr="00AE1338">
              <w:rPr>
                <w:rFonts w:ascii="Arial" w:hAnsi="Arial" w:cs="Arial"/>
                <w:b/>
                <w:bCs/>
                <w:sz w:val="20"/>
                <w:szCs w:val="20"/>
                <w:vertAlign w:val="superscript"/>
                <w:lang w:val="en-US"/>
              </w:rPr>
              <w:t>th</w:t>
            </w:r>
            <w:r w:rsidRPr="00AE1338">
              <w:rPr>
                <w:rFonts w:ascii="Arial" w:hAnsi="Arial" w:cs="Arial"/>
                <w:b/>
                <w:bCs/>
                <w:sz w:val="20"/>
                <w:szCs w:val="20"/>
                <w:lang w:val="en-US"/>
              </w:rPr>
              <w:t xml:space="preserve"> August 2025</w:t>
            </w:r>
          </w:p>
          <w:p w14:paraId="1423AA33" w14:textId="412A2E1E" w:rsidR="00630940" w:rsidRPr="00AE1338" w:rsidRDefault="00971246" w:rsidP="00A51969">
            <w:pPr>
              <w:spacing w:after="0" w:line="240" w:lineRule="auto"/>
              <w:jc w:val="center"/>
              <w:rPr>
                <w:rFonts w:ascii="Arial" w:hAnsi="Arial" w:cs="Arial"/>
                <w:b/>
                <w:bCs/>
                <w:sz w:val="20"/>
                <w:szCs w:val="20"/>
                <w:lang w:val="en-US"/>
              </w:rPr>
            </w:pPr>
            <w:r>
              <w:rPr>
                <w:rFonts w:ascii="Arial" w:hAnsi="Arial" w:cs="Arial"/>
                <w:b/>
                <w:bCs/>
                <w:sz w:val="20"/>
                <w:szCs w:val="20"/>
                <w:lang w:val="en-US"/>
              </w:rPr>
              <w:t xml:space="preserve">Parallel Session </w:t>
            </w:r>
            <w:r w:rsidR="00630940">
              <w:rPr>
                <w:rFonts w:ascii="Arial" w:hAnsi="Arial" w:cs="Arial"/>
                <w:b/>
                <w:bCs/>
                <w:sz w:val="20"/>
                <w:szCs w:val="20"/>
                <w:lang w:val="en-US"/>
              </w:rPr>
              <w:t>E</w:t>
            </w:r>
          </w:p>
          <w:p w14:paraId="374515CF" w14:textId="6E0D1023" w:rsidR="00630940" w:rsidRPr="00AE1338" w:rsidRDefault="00630940" w:rsidP="00A51969">
            <w:pPr>
              <w:spacing w:after="0" w:line="240" w:lineRule="auto"/>
              <w:rPr>
                <w:rFonts w:ascii="Arial" w:hAnsi="Arial" w:cs="Arial"/>
                <w:b/>
                <w:bCs/>
                <w:sz w:val="20"/>
                <w:szCs w:val="20"/>
                <w:lang w:val="en-US"/>
              </w:rPr>
            </w:pPr>
            <w:r w:rsidRPr="00AE1338">
              <w:rPr>
                <w:rFonts w:ascii="Arial" w:hAnsi="Arial" w:cs="Arial"/>
                <w:b/>
                <w:bCs/>
                <w:sz w:val="20"/>
                <w:szCs w:val="20"/>
                <w:lang w:val="en-US"/>
              </w:rPr>
              <w:t>Session Chair:</w:t>
            </w:r>
            <w:r>
              <w:rPr>
                <w:rFonts w:ascii="Arial" w:hAnsi="Arial" w:cs="Arial"/>
                <w:b/>
                <w:bCs/>
                <w:sz w:val="20"/>
                <w:szCs w:val="20"/>
                <w:lang w:val="en-US"/>
              </w:rPr>
              <w:t xml:space="preserve"> </w:t>
            </w:r>
            <w:r w:rsidR="00F953AF" w:rsidRPr="00F953AF">
              <w:rPr>
                <w:rFonts w:ascii="Arial" w:hAnsi="Arial" w:cs="Arial"/>
                <w:b/>
                <w:bCs/>
                <w:sz w:val="20"/>
                <w:szCs w:val="20"/>
                <w:lang w:val="en-US"/>
              </w:rPr>
              <w:t xml:space="preserve">Putra Pandu Adikara, </w:t>
            </w:r>
            <w:proofErr w:type="gramStart"/>
            <w:r w:rsidR="00F953AF" w:rsidRPr="00F953AF">
              <w:rPr>
                <w:rFonts w:ascii="Arial" w:hAnsi="Arial" w:cs="Arial"/>
                <w:b/>
                <w:bCs/>
                <w:sz w:val="20"/>
                <w:szCs w:val="20"/>
                <w:lang w:val="en-US"/>
              </w:rPr>
              <w:t>S.Kom</w:t>
            </w:r>
            <w:proofErr w:type="gramEnd"/>
            <w:r w:rsidR="00F953AF" w:rsidRPr="00F953AF">
              <w:rPr>
                <w:rFonts w:ascii="Arial" w:hAnsi="Arial" w:cs="Arial"/>
                <w:b/>
                <w:bCs/>
                <w:sz w:val="20"/>
                <w:szCs w:val="20"/>
                <w:lang w:val="en-US"/>
              </w:rPr>
              <w:t xml:space="preserve">., </w:t>
            </w:r>
            <w:proofErr w:type="gramStart"/>
            <w:r w:rsidR="00F953AF" w:rsidRPr="00F953AF">
              <w:rPr>
                <w:rFonts w:ascii="Arial" w:hAnsi="Arial" w:cs="Arial"/>
                <w:b/>
                <w:bCs/>
                <w:sz w:val="20"/>
                <w:szCs w:val="20"/>
                <w:lang w:val="en-US"/>
              </w:rPr>
              <w:t>M.Kom</w:t>
            </w:r>
            <w:proofErr w:type="gramEnd"/>
          </w:p>
          <w:p w14:paraId="70627146" w14:textId="77777777" w:rsidR="00630940" w:rsidRPr="00AE1338" w:rsidRDefault="00630940" w:rsidP="00A51969">
            <w:pPr>
              <w:spacing w:after="0" w:line="240" w:lineRule="auto"/>
              <w:rPr>
                <w:rFonts w:ascii="Arial" w:hAnsi="Arial" w:cs="Arial"/>
                <w:b/>
                <w:bCs/>
                <w:sz w:val="20"/>
                <w:szCs w:val="20"/>
                <w:lang w:val="en-US"/>
              </w:rPr>
            </w:pPr>
            <w:r w:rsidRPr="00AE1338">
              <w:rPr>
                <w:rFonts w:ascii="Arial" w:hAnsi="Arial" w:cs="Arial"/>
                <w:b/>
                <w:bCs/>
                <w:sz w:val="20"/>
                <w:szCs w:val="20"/>
                <w:lang w:val="en-US"/>
              </w:rPr>
              <w:t xml:space="preserve">Location: </w:t>
            </w:r>
            <w:r>
              <w:rPr>
                <w:rFonts w:ascii="Arial" w:hAnsi="Arial" w:cs="Arial"/>
                <w:b/>
                <w:bCs/>
                <w:sz w:val="20"/>
                <w:szCs w:val="20"/>
                <w:lang w:val="en-US"/>
              </w:rPr>
              <w:t xml:space="preserve">Online </w:t>
            </w:r>
          </w:p>
        </w:tc>
      </w:tr>
      <w:tr w:rsidR="004B65CC" w:rsidRPr="00AE1338" w14:paraId="1BFAA9F9" w14:textId="77777777" w:rsidTr="007C6E48">
        <w:trPr>
          <w:jc w:val="center"/>
        </w:trPr>
        <w:tc>
          <w:tcPr>
            <w:tcW w:w="1696" w:type="dxa"/>
            <w:vAlign w:val="center"/>
          </w:tcPr>
          <w:p w14:paraId="28F8FA57" w14:textId="77777777" w:rsidR="004B65CC" w:rsidRPr="00AE1338" w:rsidRDefault="004B65CC" w:rsidP="00A51969">
            <w:pPr>
              <w:spacing w:after="0" w:line="240" w:lineRule="auto"/>
              <w:jc w:val="center"/>
              <w:rPr>
                <w:rFonts w:ascii="Arial" w:hAnsi="Arial" w:cs="Arial"/>
                <w:b/>
                <w:bCs/>
                <w:sz w:val="20"/>
                <w:szCs w:val="20"/>
                <w:lang w:val="en-US"/>
              </w:rPr>
            </w:pPr>
            <w:r>
              <w:rPr>
                <w:rFonts w:ascii="Arial" w:hAnsi="Arial" w:cs="Arial"/>
                <w:b/>
                <w:bCs/>
                <w:sz w:val="20"/>
                <w:szCs w:val="20"/>
                <w:lang w:val="en-US"/>
              </w:rPr>
              <w:t>Time (Istanbul Turkiye)</w:t>
            </w:r>
          </w:p>
        </w:tc>
        <w:tc>
          <w:tcPr>
            <w:tcW w:w="1701" w:type="dxa"/>
            <w:vAlign w:val="center"/>
          </w:tcPr>
          <w:p w14:paraId="72A8B3B8" w14:textId="784FFE7B" w:rsidR="004B65CC" w:rsidRPr="00AE1338" w:rsidRDefault="004B65CC" w:rsidP="00A51969">
            <w:pPr>
              <w:spacing w:after="0" w:line="240" w:lineRule="auto"/>
              <w:jc w:val="center"/>
              <w:rPr>
                <w:rFonts w:ascii="Arial" w:hAnsi="Arial" w:cs="Arial"/>
                <w:b/>
                <w:bCs/>
                <w:sz w:val="20"/>
                <w:szCs w:val="20"/>
                <w:lang w:val="en-US"/>
              </w:rPr>
            </w:pPr>
            <w:r w:rsidRPr="00E84230">
              <w:rPr>
                <w:rFonts w:ascii="Arial" w:hAnsi="Arial" w:cs="Arial"/>
                <w:b/>
                <w:bCs/>
                <w:sz w:val="20"/>
                <w:szCs w:val="20"/>
                <w:lang w:val="en-US"/>
              </w:rPr>
              <w:t xml:space="preserve">Paper </w:t>
            </w:r>
            <w:r>
              <w:rPr>
                <w:rFonts w:ascii="Arial" w:hAnsi="Arial" w:cs="Arial"/>
                <w:b/>
                <w:bCs/>
                <w:sz w:val="20"/>
                <w:szCs w:val="20"/>
                <w:lang w:val="en-US"/>
              </w:rPr>
              <w:t>ID</w:t>
            </w:r>
          </w:p>
        </w:tc>
        <w:tc>
          <w:tcPr>
            <w:tcW w:w="6339" w:type="dxa"/>
            <w:vAlign w:val="center"/>
          </w:tcPr>
          <w:p w14:paraId="4D038B0F" w14:textId="253711C0" w:rsidR="004B65CC" w:rsidRPr="00AE1338" w:rsidRDefault="004B65CC" w:rsidP="00A51969">
            <w:pPr>
              <w:spacing w:after="0" w:line="240" w:lineRule="auto"/>
              <w:jc w:val="center"/>
              <w:rPr>
                <w:rFonts w:ascii="Arial" w:hAnsi="Arial" w:cs="Arial"/>
                <w:b/>
                <w:bCs/>
                <w:sz w:val="20"/>
                <w:szCs w:val="20"/>
                <w:lang w:val="en-US"/>
              </w:rPr>
            </w:pPr>
            <w:r w:rsidRPr="00E84230">
              <w:rPr>
                <w:rFonts w:ascii="Arial" w:hAnsi="Arial" w:cs="Arial"/>
                <w:b/>
                <w:bCs/>
                <w:sz w:val="20"/>
                <w:szCs w:val="20"/>
                <w:lang w:val="en-US"/>
              </w:rPr>
              <w:t>Paper</w:t>
            </w:r>
            <w:r>
              <w:rPr>
                <w:rFonts w:ascii="Arial" w:hAnsi="Arial" w:cs="Arial"/>
                <w:b/>
                <w:bCs/>
                <w:sz w:val="20"/>
                <w:szCs w:val="20"/>
                <w:lang w:val="en-US"/>
              </w:rPr>
              <w:t xml:space="preserve"> Title</w:t>
            </w:r>
          </w:p>
        </w:tc>
      </w:tr>
      <w:tr w:rsidR="004066FB" w:rsidRPr="00AE1338" w14:paraId="05B9D412" w14:textId="77777777" w:rsidTr="00240855">
        <w:trPr>
          <w:jc w:val="center"/>
        </w:trPr>
        <w:tc>
          <w:tcPr>
            <w:tcW w:w="1696" w:type="dxa"/>
            <w:vAlign w:val="center"/>
          </w:tcPr>
          <w:p w14:paraId="7A578208" w14:textId="6CAD66BB" w:rsidR="004066FB"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09:00–09:20</w:t>
            </w:r>
          </w:p>
        </w:tc>
        <w:tc>
          <w:tcPr>
            <w:tcW w:w="1701" w:type="dxa"/>
            <w:vAlign w:val="center"/>
          </w:tcPr>
          <w:p w14:paraId="0A245F2D" w14:textId="00F5F3D6"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65</w:t>
            </w:r>
          </w:p>
        </w:tc>
        <w:tc>
          <w:tcPr>
            <w:tcW w:w="6339" w:type="dxa"/>
            <w:vAlign w:val="center"/>
          </w:tcPr>
          <w:p w14:paraId="3063F4F9" w14:textId="76981834"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Analysis of Socio-Technical Aspects in the Implementation of Personal Data Protection in e Government Applications: A Case Study in the Bangka Belitung Islands Province</w:t>
            </w:r>
          </w:p>
        </w:tc>
      </w:tr>
      <w:tr w:rsidR="004066FB" w:rsidRPr="00AE1338" w14:paraId="1CE71629" w14:textId="77777777" w:rsidTr="00F5539C">
        <w:trPr>
          <w:jc w:val="center"/>
        </w:trPr>
        <w:tc>
          <w:tcPr>
            <w:tcW w:w="1696" w:type="dxa"/>
            <w:vAlign w:val="center"/>
          </w:tcPr>
          <w:p w14:paraId="45096153" w14:textId="7FB85242"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09:20–09:40</w:t>
            </w:r>
          </w:p>
        </w:tc>
        <w:tc>
          <w:tcPr>
            <w:tcW w:w="1701" w:type="dxa"/>
            <w:vAlign w:val="center"/>
          </w:tcPr>
          <w:p w14:paraId="13E77C21" w14:textId="5F65FDB0"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66</w:t>
            </w:r>
          </w:p>
        </w:tc>
        <w:tc>
          <w:tcPr>
            <w:tcW w:w="6339" w:type="dxa"/>
            <w:vAlign w:val="center"/>
          </w:tcPr>
          <w:p w14:paraId="3291C2B3" w14:textId="59A9DC20"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 xml:space="preserve">Examining The Impact Of AI-Driven Marketing Strategies </w:t>
            </w:r>
            <w:proofErr w:type="gramStart"/>
            <w:r>
              <w:rPr>
                <w:rFonts w:ascii="Arial" w:hAnsi="Arial" w:cs="Arial"/>
                <w:color w:val="000000"/>
                <w:sz w:val="20"/>
                <w:szCs w:val="20"/>
              </w:rPr>
              <w:t>On</w:t>
            </w:r>
            <w:proofErr w:type="gramEnd"/>
            <w:r>
              <w:rPr>
                <w:rFonts w:ascii="Arial" w:hAnsi="Arial" w:cs="Arial"/>
                <w:color w:val="000000"/>
                <w:sz w:val="20"/>
                <w:szCs w:val="20"/>
              </w:rPr>
              <w:t xml:space="preserve"> Consumer Purchase Decisions </w:t>
            </w:r>
            <w:proofErr w:type="gramStart"/>
            <w:r>
              <w:rPr>
                <w:rFonts w:ascii="Arial" w:hAnsi="Arial" w:cs="Arial"/>
                <w:color w:val="000000"/>
                <w:sz w:val="20"/>
                <w:szCs w:val="20"/>
              </w:rPr>
              <w:t>In</w:t>
            </w:r>
            <w:proofErr w:type="gramEnd"/>
            <w:r>
              <w:rPr>
                <w:rFonts w:ascii="Arial" w:hAnsi="Arial" w:cs="Arial"/>
                <w:color w:val="000000"/>
                <w:sz w:val="20"/>
                <w:szCs w:val="20"/>
              </w:rPr>
              <w:t xml:space="preserve"> Southeast Asia: A Case Study </w:t>
            </w:r>
            <w:proofErr w:type="gramStart"/>
            <w:r>
              <w:rPr>
                <w:rFonts w:ascii="Arial" w:hAnsi="Arial" w:cs="Arial"/>
                <w:color w:val="000000"/>
                <w:sz w:val="20"/>
                <w:szCs w:val="20"/>
              </w:rPr>
              <w:t>Of</w:t>
            </w:r>
            <w:proofErr w:type="gramEnd"/>
            <w:r>
              <w:rPr>
                <w:rFonts w:ascii="Arial" w:hAnsi="Arial" w:cs="Arial"/>
                <w:color w:val="000000"/>
                <w:sz w:val="20"/>
                <w:szCs w:val="20"/>
              </w:rPr>
              <w:t xml:space="preserve"> Fast Fashion</w:t>
            </w:r>
          </w:p>
        </w:tc>
      </w:tr>
      <w:tr w:rsidR="004066FB" w:rsidRPr="00AE1338" w14:paraId="0E52C0BB" w14:textId="77777777" w:rsidTr="00F5539C">
        <w:trPr>
          <w:jc w:val="center"/>
        </w:trPr>
        <w:tc>
          <w:tcPr>
            <w:tcW w:w="1696" w:type="dxa"/>
            <w:vAlign w:val="center"/>
          </w:tcPr>
          <w:p w14:paraId="6849E128" w14:textId="615C9971"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09:40–10:00</w:t>
            </w:r>
          </w:p>
        </w:tc>
        <w:tc>
          <w:tcPr>
            <w:tcW w:w="1701" w:type="dxa"/>
            <w:vAlign w:val="center"/>
          </w:tcPr>
          <w:p w14:paraId="754FB98F" w14:textId="0EF9DA36"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67</w:t>
            </w:r>
          </w:p>
        </w:tc>
        <w:tc>
          <w:tcPr>
            <w:tcW w:w="6339" w:type="dxa"/>
            <w:vAlign w:val="center"/>
          </w:tcPr>
          <w:p w14:paraId="0E8E90B9" w14:textId="023F435A"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 xml:space="preserve">Optimizing Scheduling Systems </w:t>
            </w:r>
            <w:proofErr w:type="gramStart"/>
            <w:r>
              <w:rPr>
                <w:rFonts w:ascii="Arial" w:hAnsi="Arial" w:cs="Arial"/>
                <w:color w:val="000000"/>
                <w:sz w:val="20"/>
                <w:szCs w:val="20"/>
              </w:rPr>
              <w:t>For</w:t>
            </w:r>
            <w:proofErr w:type="gramEnd"/>
            <w:r>
              <w:rPr>
                <w:rFonts w:ascii="Arial" w:hAnsi="Arial" w:cs="Arial"/>
                <w:color w:val="000000"/>
                <w:sz w:val="20"/>
                <w:szCs w:val="20"/>
              </w:rPr>
              <w:t xml:space="preserve"> Agribusiness SME’s Using AI-Based Decision Support Systems</w:t>
            </w:r>
          </w:p>
        </w:tc>
      </w:tr>
      <w:tr w:rsidR="004066FB" w:rsidRPr="00AE1338" w14:paraId="5718307E" w14:textId="77777777" w:rsidTr="00240855">
        <w:trPr>
          <w:jc w:val="center"/>
        </w:trPr>
        <w:tc>
          <w:tcPr>
            <w:tcW w:w="1696" w:type="dxa"/>
            <w:vAlign w:val="center"/>
          </w:tcPr>
          <w:p w14:paraId="17B89044" w14:textId="5B2AEE05"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lastRenderedPageBreak/>
              <w:t>10:00–10:20</w:t>
            </w:r>
          </w:p>
        </w:tc>
        <w:tc>
          <w:tcPr>
            <w:tcW w:w="1701" w:type="dxa"/>
            <w:vAlign w:val="center"/>
          </w:tcPr>
          <w:p w14:paraId="1E833B60" w14:textId="7658E3F3"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76</w:t>
            </w:r>
          </w:p>
        </w:tc>
        <w:tc>
          <w:tcPr>
            <w:tcW w:w="6339" w:type="dxa"/>
            <w:vAlign w:val="center"/>
          </w:tcPr>
          <w:p w14:paraId="2B898DF8" w14:textId="368127DA"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Combating Imbalanced Data in the Internet of Things Intrusion Detection Systems: A Cascade Model Approach</w:t>
            </w:r>
          </w:p>
        </w:tc>
      </w:tr>
      <w:tr w:rsidR="004066FB" w:rsidRPr="00AE1338" w14:paraId="2CB68F91" w14:textId="77777777" w:rsidTr="00240855">
        <w:trPr>
          <w:jc w:val="center"/>
        </w:trPr>
        <w:tc>
          <w:tcPr>
            <w:tcW w:w="1696" w:type="dxa"/>
            <w:vAlign w:val="center"/>
          </w:tcPr>
          <w:p w14:paraId="560943F7" w14:textId="4BAA980A"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10:20–10:40</w:t>
            </w:r>
          </w:p>
        </w:tc>
        <w:tc>
          <w:tcPr>
            <w:tcW w:w="1701" w:type="dxa"/>
            <w:vAlign w:val="center"/>
          </w:tcPr>
          <w:p w14:paraId="3C812DAD" w14:textId="771B6262"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80</w:t>
            </w:r>
          </w:p>
        </w:tc>
        <w:tc>
          <w:tcPr>
            <w:tcW w:w="6339" w:type="dxa"/>
            <w:vAlign w:val="center"/>
          </w:tcPr>
          <w:p w14:paraId="42C2229C" w14:textId="68A125EE"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A Systematic Literature Review of Machine Learning and Deep Learning Approaches for Credit Card Fraud Detection: Focus on Dataset Generalizability</w:t>
            </w:r>
          </w:p>
        </w:tc>
      </w:tr>
      <w:tr w:rsidR="004066FB" w:rsidRPr="00AE1338" w14:paraId="7B8F9C29" w14:textId="77777777" w:rsidTr="00240855">
        <w:trPr>
          <w:jc w:val="center"/>
        </w:trPr>
        <w:tc>
          <w:tcPr>
            <w:tcW w:w="1696" w:type="dxa"/>
            <w:vAlign w:val="center"/>
          </w:tcPr>
          <w:p w14:paraId="72AE7FCB" w14:textId="55276FF2"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10:40–11:00</w:t>
            </w:r>
          </w:p>
        </w:tc>
        <w:tc>
          <w:tcPr>
            <w:tcW w:w="1701" w:type="dxa"/>
            <w:vAlign w:val="center"/>
          </w:tcPr>
          <w:p w14:paraId="2B6991F2" w14:textId="6CCAB2BE"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87</w:t>
            </w:r>
          </w:p>
        </w:tc>
        <w:tc>
          <w:tcPr>
            <w:tcW w:w="6339" w:type="dxa"/>
            <w:vAlign w:val="center"/>
          </w:tcPr>
          <w:p w14:paraId="0C10CCDB" w14:textId="7AFAAFDF"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Key Implementation Factors for Generative Artificial Intelligence (GenAI) in Knowledge Work: Productivity, Work Transformation, and Governance Perspectives</w:t>
            </w:r>
          </w:p>
        </w:tc>
      </w:tr>
      <w:tr w:rsidR="004066FB" w:rsidRPr="00AE1338" w14:paraId="077120F5" w14:textId="77777777" w:rsidTr="00240855">
        <w:trPr>
          <w:jc w:val="center"/>
        </w:trPr>
        <w:tc>
          <w:tcPr>
            <w:tcW w:w="1696" w:type="dxa"/>
            <w:vAlign w:val="center"/>
          </w:tcPr>
          <w:p w14:paraId="4F66D059" w14:textId="10F90520"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11:00–11:20</w:t>
            </w:r>
          </w:p>
        </w:tc>
        <w:tc>
          <w:tcPr>
            <w:tcW w:w="1701" w:type="dxa"/>
            <w:vAlign w:val="center"/>
          </w:tcPr>
          <w:p w14:paraId="3653BF1F" w14:textId="1244B0DF"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88</w:t>
            </w:r>
          </w:p>
        </w:tc>
        <w:tc>
          <w:tcPr>
            <w:tcW w:w="6339" w:type="dxa"/>
            <w:vAlign w:val="center"/>
          </w:tcPr>
          <w:p w14:paraId="45D7EB77" w14:textId="3149A20C"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 xml:space="preserve">The Influence </w:t>
            </w:r>
            <w:proofErr w:type="gramStart"/>
            <w:r>
              <w:rPr>
                <w:rFonts w:ascii="Arial" w:hAnsi="Arial" w:cs="Arial"/>
                <w:color w:val="000000"/>
                <w:sz w:val="20"/>
                <w:szCs w:val="20"/>
              </w:rPr>
              <w:t>Of</w:t>
            </w:r>
            <w:proofErr w:type="gramEnd"/>
            <w:r>
              <w:rPr>
                <w:rFonts w:ascii="Arial" w:hAnsi="Arial" w:cs="Arial"/>
                <w:color w:val="000000"/>
                <w:sz w:val="20"/>
                <w:szCs w:val="20"/>
              </w:rPr>
              <w:t xml:space="preserve"> Artificial Intelligence Adoption on Audit Quality with Technology Acceptance Factors as determinants</w:t>
            </w:r>
          </w:p>
        </w:tc>
      </w:tr>
      <w:tr w:rsidR="004066FB" w:rsidRPr="00AE1338" w14:paraId="31DE0A62" w14:textId="77777777" w:rsidTr="00240855">
        <w:trPr>
          <w:jc w:val="center"/>
        </w:trPr>
        <w:tc>
          <w:tcPr>
            <w:tcW w:w="1696" w:type="dxa"/>
            <w:vAlign w:val="center"/>
          </w:tcPr>
          <w:p w14:paraId="1A09F9A0" w14:textId="6F4834F4"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11:20–11:40</w:t>
            </w:r>
          </w:p>
        </w:tc>
        <w:tc>
          <w:tcPr>
            <w:tcW w:w="1701" w:type="dxa"/>
            <w:vAlign w:val="center"/>
          </w:tcPr>
          <w:p w14:paraId="0BBA1F75" w14:textId="2B4790E6"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93</w:t>
            </w:r>
          </w:p>
        </w:tc>
        <w:tc>
          <w:tcPr>
            <w:tcW w:w="6339" w:type="dxa"/>
            <w:vAlign w:val="center"/>
          </w:tcPr>
          <w:p w14:paraId="7E55850C" w14:textId="3CFE68F9"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The Impact of Artificial Intelligence Knowledge and Perception on Accounting Students’ Career Readiness in the Digital Era</w:t>
            </w:r>
          </w:p>
        </w:tc>
      </w:tr>
      <w:tr w:rsidR="004066FB" w:rsidRPr="00AE1338" w14:paraId="11045301" w14:textId="77777777" w:rsidTr="00240855">
        <w:trPr>
          <w:jc w:val="center"/>
        </w:trPr>
        <w:tc>
          <w:tcPr>
            <w:tcW w:w="1696" w:type="dxa"/>
            <w:vAlign w:val="center"/>
          </w:tcPr>
          <w:p w14:paraId="2E41102B" w14:textId="4EA99669"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11:40–12:00</w:t>
            </w:r>
          </w:p>
        </w:tc>
        <w:tc>
          <w:tcPr>
            <w:tcW w:w="1701" w:type="dxa"/>
            <w:vAlign w:val="center"/>
          </w:tcPr>
          <w:p w14:paraId="11160ECD" w14:textId="66528180"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96</w:t>
            </w:r>
          </w:p>
        </w:tc>
        <w:tc>
          <w:tcPr>
            <w:tcW w:w="6339" w:type="dxa"/>
            <w:vAlign w:val="center"/>
          </w:tcPr>
          <w:p w14:paraId="16428566" w14:textId="063EEE7C"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Driven by Data, Moved by Value: Understanding Consumer Responses to AI-Driven Advertising in E-Commerce</w:t>
            </w:r>
          </w:p>
        </w:tc>
      </w:tr>
      <w:tr w:rsidR="004066FB" w:rsidRPr="00AE1338" w14:paraId="58E6BCAA" w14:textId="77777777" w:rsidTr="00240855">
        <w:trPr>
          <w:jc w:val="center"/>
        </w:trPr>
        <w:tc>
          <w:tcPr>
            <w:tcW w:w="1696" w:type="dxa"/>
            <w:vAlign w:val="center"/>
          </w:tcPr>
          <w:p w14:paraId="6DF102A3" w14:textId="16353E17"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w:t>
            </w:r>
            <w:r>
              <w:rPr>
                <w:rFonts w:ascii="Arial" w:hAnsi="Arial" w:cs="Arial"/>
                <w:b/>
                <w:bCs/>
                <w:color w:val="000000"/>
                <w:sz w:val="20"/>
                <w:szCs w:val="20"/>
              </w:rPr>
              <w:t>2</w:t>
            </w:r>
            <w:r w:rsidRPr="004066FB">
              <w:rPr>
                <w:rFonts w:ascii="Arial" w:hAnsi="Arial" w:cs="Arial"/>
                <w:b/>
                <w:bCs/>
                <w:color w:val="000000"/>
                <w:sz w:val="20"/>
                <w:szCs w:val="20"/>
              </w:rPr>
              <w:t>:00–1</w:t>
            </w:r>
            <w:r>
              <w:rPr>
                <w:rFonts w:ascii="Arial" w:hAnsi="Arial" w:cs="Arial"/>
                <w:b/>
                <w:bCs/>
                <w:color w:val="000000"/>
                <w:sz w:val="20"/>
                <w:szCs w:val="20"/>
              </w:rPr>
              <w:t>2</w:t>
            </w:r>
            <w:r w:rsidRPr="004066FB">
              <w:rPr>
                <w:rFonts w:ascii="Arial" w:hAnsi="Arial" w:cs="Arial"/>
                <w:b/>
                <w:bCs/>
                <w:color w:val="000000"/>
                <w:sz w:val="20"/>
                <w:szCs w:val="20"/>
              </w:rPr>
              <w:t>:20</w:t>
            </w:r>
          </w:p>
        </w:tc>
        <w:tc>
          <w:tcPr>
            <w:tcW w:w="1701" w:type="dxa"/>
            <w:vAlign w:val="center"/>
          </w:tcPr>
          <w:p w14:paraId="51FF06AC" w14:textId="374FBC80"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97</w:t>
            </w:r>
          </w:p>
        </w:tc>
        <w:tc>
          <w:tcPr>
            <w:tcW w:w="6339" w:type="dxa"/>
            <w:vAlign w:val="center"/>
          </w:tcPr>
          <w:p w14:paraId="3FAFDE0F" w14:textId="08FF4FD9"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Artificial Intelligence Adoption and ESG Controversies: Evidence from Southeast Asian Manufacturing Companies</w:t>
            </w:r>
          </w:p>
        </w:tc>
      </w:tr>
      <w:tr w:rsidR="00DA6BE7" w:rsidRPr="00AE1338" w14:paraId="08032E8A" w14:textId="77777777" w:rsidTr="00240855">
        <w:trPr>
          <w:jc w:val="center"/>
        </w:trPr>
        <w:tc>
          <w:tcPr>
            <w:tcW w:w="1696" w:type="dxa"/>
            <w:vAlign w:val="center"/>
          </w:tcPr>
          <w:p w14:paraId="2EDAEB53" w14:textId="3266CAFD" w:rsidR="00DA6BE7" w:rsidRPr="004066FB" w:rsidRDefault="00DA6BE7" w:rsidP="004066FB">
            <w:pPr>
              <w:spacing w:after="0" w:line="240" w:lineRule="auto"/>
              <w:jc w:val="center"/>
              <w:rPr>
                <w:rFonts w:ascii="Arial" w:hAnsi="Arial" w:cs="Arial"/>
                <w:b/>
                <w:bCs/>
                <w:color w:val="000000"/>
                <w:sz w:val="20"/>
                <w:szCs w:val="20"/>
              </w:rPr>
            </w:pPr>
            <w:r>
              <w:rPr>
                <w:rFonts w:ascii="Arial" w:hAnsi="Arial" w:cs="Arial"/>
                <w:b/>
                <w:bCs/>
                <w:color w:val="000000"/>
                <w:sz w:val="20"/>
                <w:szCs w:val="20"/>
              </w:rPr>
              <w:t>12:20-12:40</w:t>
            </w:r>
          </w:p>
        </w:tc>
        <w:tc>
          <w:tcPr>
            <w:tcW w:w="1701" w:type="dxa"/>
            <w:vAlign w:val="center"/>
          </w:tcPr>
          <w:p w14:paraId="1F82A4B9" w14:textId="2F99FCFC" w:rsidR="00DA6BE7" w:rsidRDefault="00DA6BE7" w:rsidP="004066FB">
            <w:pPr>
              <w:spacing w:after="0" w:line="240" w:lineRule="auto"/>
              <w:jc w:val="center"/>
              <w:rPr>
                <w:rFonts w:ascii="Arial" w:hAnsi="Arial" w:cs="Arial"/>
                <w:color w:val="000000"/>
                <w:sz w:val="20"/>
                <w:szCs w:val="20"/>
              </w:rPr>
            </w:pPr>
            <w:r>
              <w:rPr>
                <w:rFonts w:ascii="Arial" w:hAnsi="Arial" w:cs="Arial"/>
                <w:color w:val="000000"/>
                <w:sz w:val="20"/>
                <w:szCs w:val="20"/>
              </w:rPr>
              <w:t>16</w:t>
            </w:r>
          </w:p>
        </w:tc>
        <w:tc>
          <w:tcPr>
            <w:tcW w:w="6339" w:type="dxa"/>
            <w:vAlign w:val="center"/>
          </w:tcPr>
          <w:p w14:paraId="71F61150" w14:textId="1AFD6738" w:rsidR="00DA6BE7" w:rsidRDefault="00DA6BE7" w:rsidP="004066FB">
            <w:pPr>
              <w:spacing w:after="0" w:line="240" w:lineRule="auto"/>
              <w:jc w:val="center"/>
              <w:rPr>
                <w:rFonts w:ascii="Arial" w:hAnsi="Arial" w:cs="Arial"/>
                <w:color w:val="000000"/>
                <w:sz w:val="20"/>
                <w:szCs w:val="20"/>
              </w:rPr>
            </w:pPr>
            <w:r w:rsidRPr="00DA6BE7">
              <w:rPr>
                <w:rFonts w:ascii="Arial" w:hAnsi="Arial" w:cs="Arial"/>
                <w:color w:val="000000"/>
                <w:sz w:val="20"/>
                <w:szCs w:val="20"/>
              </w:rPr>
              <w:t>Building Stronger Fashion Brand Preference Through Perceived Value and Human-Centered Chatbots</w:t>
            </w:r>
          </w:p>
        </w:tc>
      </w:tr>
    </w:tbl>
    <w:p w14:paraId="1A7BBACE" w14:textId="77777777" w:rsidR="00C27350" w:rsidRDefault="00C27350" w:rsidP="00A51969">
      <w:pPr>
        <w:spacing w:after="0" w:line="240" w:lineRule="auto"/>
        <w:rPr>
          <w:rFonts w:ascii="Arial" w:hAnsi="Arial" w:cs="Arial"/>
          <w:b/>
          <w:bCs/>
          <w:sz w:val="20"/>
          <w:szCs w:val="20"/>
          <w:lang w:val="en-US"/>
        </w:rPr>
      </w:pPr>
    </w:p>
    <w:p w14:paraId="203FE054" w14:textId="77777777" w:rsidR="008959E8" w:rsidRDefault="008959E8" w:rsidP="00A51969">
      <w:pPr>
        <w:spacing w:after="0" w:line="240" w:lineRule="auto"/>
        <w:rPr>
          <w:rFonts w:ascii="Arial" w:hAnsi="Arial" w:cs="Arial"/>
          <w:b/>
          <w:bCs/>
          <w:sz w:val="20"/>
          <w:szCs w:val="20"/>
          <w:lang w:val="en-US"/>
        </w:rPr>
      </w:pPr>
    </w:p>
    <w:p w14:paraId="505494B6" w14:textId="77777777" w:rsidR="008959E8" w:rsidRDefault="008959E8" w:rsidP="00A51969">
      <w:pPr>
        <w:spacing w:after="0" w:line="240" w:lineRule="auto"/>
        <w:rPr>
          <w:rFonts w:ascii="Arial" w:hAnsi="Arial" w:cs="Arial"/>
          <w:b/>
          <w:bCs/>
          <w:sz w:val="20"/>
          <w:szCs w:val="20"/>
          <w:lang w:val="en-US"/>
        </w:rPr>
      </w:pPr>
    </w:p>
    <w:p w14:paraId="5C222A26" w14:textId="77777777" w:rsidR="008959E8" w:rsidRDefault="008959E8" w:rsidP="00A51969">
      <w:pPr>
        <w:spacing w:after="0" w:line="240" w:lineRule="auto"/>
        <w:rPr>
          <w:rFonts w:ascii="Arial" w:hAnsi="Arial" w:cs="Arial"/>
          <w:b/>
          <w:bCs/>
          <w:sz w:val="20"/>
          <w:szCs w:val="20"/>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701"/>
        <w:gridCol w:w="6339"/>
      </w:tblGrid>
      <w:tr w:rsidR="002A356F" w:rsidRPr="00AE1338" w14:paraId="030F1301" w14:textId="77777777" w:rsidTr="007C6E48">
        <w:trPr>
          <w:jc w:val="center"/>
        </w:trPr>
        <w:tc>
          <w:tcPr>
            <w:tcW w:w="0" w:type="auto"/>
            <w:gridSpan w:val="3"/>
            <w:vAlign w:val="center"/>
          </w:tcPr>
          <w:p w14:paraId="330C3CEB" w14:textId="663F399B" w:rsidR="002A356F" w:rsidRPr="00AE1338" w:rsidRDefault="002A356F" w:rsidP="00A51969">
            <w:pPr>
              <w:spacing w:after="0" w:line="240" w:lineRule="auto"/>
              <w:jc w:val="right"/>
              <w:rPr>
                <w:rFonts w:ascii="Arial" w:hAnsi="Arial" w:cs="Arial"/>
                <w:b/>
                <w:bCs/>
                <w:sz w:val="20"/>
                <w:szCs w:val="20"/>
                <w:lang w:val="en-US"/>
              </w:rPr>
            </w:pPr>
            <w:r>
              <w:rPr>
                <w:rFonts w:ascii="Arial" w:hAnsi="Arial" w:cs="Arial"/>
                <w:b/>
                <w:bCs/>
                <w:sz w:val="20"/>
                <w:szCs w:val="20"/>
                <w:lang w:val="en-US"/>
              </w:rPr>
              <w:t>20</w:t>
            </w:r>
            <w:r w:rsidRPr="00AE1338">
              <w:rPr>
                <w:rFonts w:ascii="Arial" w:hAnsi="Arial" w:cs="Arial"/>
                <w:b/>
                <w:bCs/>
                <w:sz w:val="20"/>
                <w:szCs w:val="20"/>
                <w:vertAlign w:val="superscript"/>
                <w:lang w:val="en-US"/>
              </w:rPr>
              <w:t>th</w:t>
            </w:r>
            <w:r w:rsidRPr="00AE1338">
              <w:rPr>
                <w:rFonts w:ascii="Arial" w:hAnsi="Arial" w:cs="Arial"/>
                <w:b/>
                <w:bCs/>
                <w:sz w:val="20"/>
                <w:szCs w:val="20"/>
                <w:lang w:val="en-US"/>
              </w:rPr>
              <w:t xml:space="preserve"> August 2025</w:t>
            </w:r>
          </w:p>
          <w:p w14:paraId="7789C78E" w14:textId="25F8BF0C" w:rsidR="002A356F" w:rsidRPr="00AE1338" w:rsidRDefault="00971246" w:rsidP="00A51969">
            <w:pPr>
              <w:spacing w:after="0" w:line="240" w:lineRule="auto"/>
              <w:jc w:val="center"/>
              <w:rPr>
                <w:rFonts w:ascii="Arial" w:hAnsi="Arial" w:cs="Arial"/>
                <w:b/>
                <w:bCs/>
                <w:sz w:val="20"/>
                <w:szCs w:val="20"/>
                <w:lang w:val="en-US"/>
              </w:rPr>
            </w:pPr>
            <w:r>
              <w:rPr>
                <w:rFonts w:ascii="Arial" w:hAnsi="Arial" w:cs="Arial"/>
                <w:b/>
                <w:bCs/>
                <w:sz w:val="20"/>
                <w:szCs w:val="20"/>
                <w:lang w:val="en-US"/>
              </w:rPr>
              <w:t xml:space="preserve">Parallel Session </w:t>
            </w:r>
            <w:r w:rsidR="002A356F">
              <w:rPr>
                <w:rFonts w:ascii="Arial" w:hAnsi="Arial" w:cs="Arial"/>
                <w:b/>
                <w:bCs/>
                <w:sz w:val="20"/>
                <w:szCs w:val="20"/>
                <w:lang w:val="en-US"/>
              </w:rPr>
              <w:t>F</w:t>
            </w:r>
          </w:p>
          <w:p w14:paraId="7BB977A9" w14:textId="142F01CA" w:rsidR="002A356F" w:rsidRPr="00AE1338" w:rsidRDefault="002A356F" w:rsidP="00A51969">
            <w:pPr>
              <w:spacing w:after="0" w:line="240" w:lineRule="auto"/>
              <w:rPr>
                <w:rFonts w:ascii="Arial" w:hAnsi="Arial" w:cs="Arial"/>
                <w:b/>
                <w:bCs/>
                <w:sz w:val="20"/>
                <w:szCs w:val="20"/>
                <w:lang w:val="en-US"/>
              </w:rPr>
            </w:pPr>
            <w:r w:rsidRPr="00AE1338">
              <w:rPr>
                <w:rFonts w:ascii="Arial" w:hAnsi="Arial" w:cs="Arial"/>
                <w:b/>
                <w:bCs/>
                <w:sz w:val="20"/>
                <w:szCs w:val="20"/>
                <w:lang w:val="en-US"/>
              </w:rPr>
              <w:t>Session Chair:</w:t>
            </w:r>
            <w:r>
              <w:rPr>
                <w:rFonts w:ascii="Arial" w:hAnsi="Arial" w:cs="Arial"/>
                <w:b/>
                <w:bCs/>
                <w:sz w:val="20"/>
                <w:szCs w:val="20"/>
                <w:lang w:val="en-US"/>
              </w:rPr>
              <w:t xml:space="preserve"> </w:t>
            </w:r>
            <w:r w:rsidR="00820D15" w:rsidRPr="00820D15">
              <w:rPr>
                <w:rFonts w:ascii="Arial" w:hAnsi="Arial" w:cs="Arial"/>
                <w:b/>
                <w:bCs/>
                <w:sz w:val="20"/>
                <w:szCs w:val="20"/>
                <w:lang w:val="en-US"/>
              </w:rPr>
              <w:t xml:space="preserve">Buce Trias Hanggara, </w:t>
            </w:r>
            <w:proofErr w:type="gramStart"/>
            <w:r w:rsidR="00820D15" w:rsidRPr="00820D15">
              <w:rPr>
                <w:rFonts w:ascii="Arial" w:hAnsi="Arial" w:cs="Arial"/>
                <w:b/>
                <w:bCs/>
                <w:sz w:val="20"/>
                <w:szCs w:val="20"/>
                <w:lang w:val="en-US"/>
              </w:rPr>
              <w:t>S.Kom</w:t>
            </w:r>
            <w:proofErr w:type="gramEnd"/>
            <w:r w:rsidR="00820D15" w:rsidRPr="00820D15">
              <w:rPr>
                <w:rFonts w:ascii="Arial" w:hAnsi="Arial" w:cs="Arial"/>
                <w:b/>
                <w:bCs/>
                <w:sz w:val="20"/>
                <w:szCs w:val="20"/>
                <w:lang w:val="en-US"/>
              </w:rPr>
              <w:t xml:space="preserve">., </w:t>
            </w:r>
            <w:proofErr w:type="gramStart"/>
            <w:r w:rsidR="00820D15" w:rsidRPr="00820D15">
              <w:rPr>
                <w:rFonts w:ascii="Arial" w:hAnsi="Arial" w:cs="Arial"/>
                <w:b/>
                <w:bCs/>
                <w:sz w:val="20"/>
                <w:szCs w:val="20"/>
                <w:lang w:val="en-US"/>
              </w:rPr>
              <w:t>M.Kom</w:t>
            </w:r>
            <w:proofErr w:type="gramEnd"/>
          </w:p>
          <w:p w14:paraId="15308FF3" w14:textId="77777777" w:rsidR="002A356F" w:rsidRPr="00AE1338" w:rsidRDefault="002A356F" w:rsidP="00A51969">
            <w:pPr>
              <w:spacing w:after="0" w:line="240" w:lineRule="auto"/>
              <w:rPr>
                <w:rFonts w:ascii="Arial" w:hAnsi="Arial" w:cs="Arial"/>
                <w:b/>
                <w:bCs/>
                <w:sz w:val="20"/>
                <w:szCs w:val="20"/>
                <w:lang w:val="en-US"/>
              </w:rPr>
            </w:pPr>
            <w:r w:rsidRPr="00AE1338">
              <w:rPr>
                <w:rFonts w:ascii="Arial" w:hAnsi="Arial" w:cs="Arial"/>
                <w:b/>
                <w:bCs/>
                <w:sz w:val="20"/>
                <w:szCs w:val="20"/>
                <w:lang w:val="en-US"/>
              </w:rPr>
              <w:t xml:space="preserve">Location: </w:t>
            </w:r>
            <w:r>
              <w:rPr>
                <w:rFonts w:ascii="Arial" w:hAnsi="Arial" w:cs="Arial"/>
                <w:b/>
                <w:bCs/>
                <w:sz w:val="20"/>
                <w:szCs w:val="20"/>
                <w:lang w:val="en-US"/>
              </w:rPr>
              <w:t xml:space="preserve">Online </w:t>
            </w:r>
          </w:p>
        </w:tc>
      </w:tr>
      <w:tr w:rsidR="004B65CC" w:rsidRPr="00AE1338" w14:paraId="0A4A58A2" w14:textId="77777777" w:rsidTr="007C6E48">
        <w:trPr>
          <w:jc w:val="center"/>
        </w:trPr>
        <w:tc>
          <w:tcPr>
            <w:tcW w:w="1696" w:type="dxa"/>
            <w:vAlign w:val="center"/>
          </w:tcPr>
          <w:p w14:paraId="7458C9E7" w14:textId="77777777" w:rsidR="004B65CC" w:rsidRPr="00AE1338" w:rsidRDefault="004B65CC" w:rsidP="00A51969">
            <w:pPr>
              <w:spacing w:after="0" w:line="240" w:lineRule="auto"/>
              <w:jc w:val="center"/>
              <w:rPr>
                <w:rFonts w:ascii="Arial" w:hAnsi="Arial" w:cs="Arial"/>
                <w:b/>
                <w:bCs/>
                <w:sz w:val="20"/>
                <w:szCs w:val="20"/>
                <w:lang w:val="en-US"/>
              </w:rPr>
            </w:pPr>
            <w:r>
              <w:rPr>
                <w:rFonts w:ascii="Arial" w:hAnsi="Arial" w:cs="Arial"/>
                <w:b/>
                <w:bCs/>
                <w:sz w:val="20"/>
                <w:szCs w:val="20"/>
                <w:lang w:val="en-US"/>
              </w:rPr>
              <w:t>Time (Istanbul Turkiye)</w:t>
            </w:r>
          </w:p>
        </w:tc>
        <w:tc>
          <w:tcPr>
            <w:tcW w:w="1701" w:type="dxa"/>
            <w:vAlign w:val="center"/>
          </w:tcPr>
          <w:p w14:paraId="0D469A22" w14:textId="32A7FDCF" w:rsidR="004B65CC" w:rsidRPr="00AE1338" w:rsidRDefault="004B65CC" w:rsidP="00A51969">
            <w:pPr>
              <w:spacing w:after="0" w:line="240" w:lineRule="auto"/>
              <w:jc w:val="center"/>
              <w:rPr>
                <w:rFonts w:ascii="Arial" w:hAnsi="Arial" w:cs="Arial"/>
                <w:b/>
                <w:bCs/>
                <w:sz w:val="20"/>
                <w:szCs w:val="20"/>
                <w:lang w:val="en-US"/>
              </w:rPr>
            </w:pPr>
            <w:r w:rsidRPr="00E84230">
              <w:rPr>
                <w:rFonts w:ascii="Arial" w:hAnsi="Arial" w:cs="Arial"/>
                <w:b/>
                <w:bCs/>
                <w:sz w:val="20"/>
                <w:szCs w:val="20"/>
                <w:lang w:val="en-US"/>
              </w:rPr>
              <w:t xml:space="preserve">Paper </w:t>
            </w:r>
            <w:r>
              <w:rPr>
                <w:rFonts w:ascii="Arial" w:hAnsi="Arial" w:cs="Arial"/>
                <w:b/>
                <w:bCs/>
                <w:sz w:val="20"/>
                <w:szCs w:val="20"/>
                <w:lang w:val="en-US"/>
              </w:rPr>
              <w:t>ID</w:t>
            </w:r>
          </w:p>
        </w:tc>
        <w:tc>
          <w:tcPr>
            <w:tcW w:w="6339" w:type="dxa"/>
            <w:vAlign w:val="center"/>
          </w:tcPr>
          <w:p w14:paraId="6893D474" w14:textId="07408D6D" w:rsidR="004B65CC" w:rsidRPr="00AE1338" w:rsidRDefault="004B65CC" w:rsidP="00A51969">
            <w:pPr>
              <w:spacing w:after="0" w:line="240" w:lineRule="auto"/>
              <w:jc w:val="center"/>
              <w:rPr>
                <w:rFonts w:ascii="Arial" w:hAnsi="Arial" w:cs="Arial"/>
                <w:b/>
                <w:bCs/>
                <w:sz w:val="20"/>
                <w:szCs w:val="20"/>
                <w:lang w:val="en-US"/>
              </w:rPr>
            </w:pPr>
            <w:r w:rsidRPr="00E84230">
              <w:rPr>
                <w:rFonts w:ascii="Arial" w:hAnsi="Arial" w:cs="Arial"/>
                <w:b/>
                <w:bCs/>
                <w:sz w:val="20"/>
                <w:szCs w:val="20"/>
                <w:lang w:val="en-US"/>
              </w:rPr>
              <w:t>Paper</w:t>
            </w:r>
            <w:r>
              <w:rPr>
                <w:rFonts w:ascii="Arial" w:hAnsi="Arial" w:cs="Arial"/>
                <w:b/>
                <w:bCs/>
                <w:sz w:val="20"/>
                <w:szCs w:val="20"/>
                <w:lang w:val="en-US"/>
              </w:rPr>
              <w:t xml:space="preserve"> Title</w:t>
            </w:r>
          </w:p>
        </w:tc>
      </w:tr>
      <w:tr w:rsidR="004066FB" w:rsidRPr="00AE1338" w14:paraId="70455003" w14:textId="77777777" w:rsidTr="00707EBD">
        <w:trPr>
          <w:jc w:val="center"/>
        </w:trPr>
        <w:tc>
          <w:tcPr>
            <w:tcW w:w="1696" w:type="dxa"/>
            <w:vAlign w:val="center"/>
          </w:tcPr>
          <w:p w14:paraId="6137074E" w14:textId="2CFAE966" w:rsidR="004066FB"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09:00–09:20</w:t>
            </w:r>
          </w:p>
        </w:tc>
        <w:tc>
          <w:tcPr>
            <w:tcW w:w="1701" w:type="dxa"/>
            <w:vAlign w:val="center"/>
          </w:tcPr>
          <w:p w14:paraId="17202DFB" w14:textId="777EAA1F"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98</w:t>
            </w:r>
          </w:p>
        </w:tc>
        <w:tc>
          <w:tcPr>
            <w:tcW w:w="6339" w:type="dxa"/>
            <w:vAlign w:val="center"/>
          </w:tcPr>
          <w:p w14:paraId="4890A636" w14:textId="51514F56"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AI-Enabled Digital Transformation for Sustainable Financial Performance: Evidence from Indonesia’s Energy and and Mining Sectors</w:t>
            </w:r>
          </w:p>
        </w:tc>
      </w:tr>
      <w:tr w:rsidR="004066FB" w:rsidRPr="00AE1338" w14:paraId="6DA586A7" w14:textId="77777777" w:rsidTr="00707EBD">
        <w:trPr>
          <w:jc w:val="center"/>
        </w:trPr>
        <w:tc>
          <w:tcPr>
            <w:tcW w:w="1696" w:type="dxa"/>
            <w:vAlign w:val="center"/>
          </w:tcPr>
          <w:p w14:paraId="2E1B8099" w14:textId="04549214"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09:20–09:40</w:t>
            </w:r>
          </w:p>
        </w:tc>
        <w:tc>
          <w:tcPr>
            <w:tcW w:w="1701" w:type="dxa"/>
            <w:vAlign w:val="center"/>
          </w:tcPr>
          <w:p w14:paraId="70212AA5" w14:textId="375D7B9F"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99</w:t>
            </w:r>
          </w:p>
        </w:tc>
        <w:tc>
          <w:tcPr>
            <w:tcW w:w="6339" w:type="dxa"/>
            <w:vAlign w:val="center"/>
          </w:tcPr>
          <w:p w14:paraId="436DFD91" w14:textId="185C5363"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The Impact of Green Intelligence to ESG Scores in the ASEAN Banking Sector (2020-2024)</w:t>
            </w:r>
          </w:p>
        </w:tc>
      </w:tr>
      <w:tr w:rsidR="004066FB" w:rsidRPr="00AE1338" w14:paraId="35169D7C" w14:textId="77777777" w:rsidTr="00707EBD">
        <w:trPr>
          <w:jc w:val="center"/>
        </w:trPr>
        <w:tc>
          <w:tcPr>
            <w:tcW w:w="1696" w:type="dxa"/>
            <w:vAlign w:val="center"/>
          </w:tcPr>
          <w:p w14:paraId="022BB2DA" w14:textId="08DB524D"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09:40–10:00</w:t>
            </w:r>
          </w:p>
        </w:tc>
        <w:tc>
          <w:tcPr>
            <w:tcW w:w="1701" w:type="dxa"/>
            <w:vAlign w:val="center"/>
          </w:tcPr>
          <w:p w14:paraId="6179042C" w14:textId="28F7C187"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100</w:t>
            </w:r>
          </w:p>
        </w:tc>
        <w:tc>
          <w:tcPr>
            <w:tcW w:w="6339" w:type="dxa"/>
            <w:vAlign w:val="center"/>
          </w:tcPr>
          <w:p w14:paraId="7AA207EA" w14:textId="43C8133D"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Digital Transformation and Carbon Emissions in Firm Value and Firm Performance on Energy and Utilities Sector in ASEAN</w:t>
            </w:r>
          </w:p>
        </w:tc>
      </w:tr>
      <w:tr w:rsidR="004066FB" w:rsidRPr="00AE1338" w14:paraId="3311DE0F" w14:textId="77777777" w:rsidTr="00707EBD">
        <w:trPr>
          <w:jc w:val="center"/>
        </w:trPr>
        <w:tc>
          <w:tcPr>
            <w:tcW w:w="1696" w:type="dxa"/>
            <w:vAlign w:val="center"/>
          </w:tcPr>
          <w:p w14:paraId="3FA47317" w14:textId="1BA60235"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10:00–10:20</w:t>
            </w:r>
          </w:p>
        </w:tc>
        <w:tc>
          <w:tcPr>
            <w:tcW w:w="1701" w:type="dxa"/>
            <w:vAlign w:val="center"/>
          </w:tcPr>
          <w:p w14:paraId="22E0196A" w14:textId="6D96D1AA"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101</w:t>
            </w:r>
          </w:p>
        </w:tc>
        <w:tc>
          <w:tcPr>
            <w:tcW w:w="6339" w:type="dxa"/>
            <w:vAlign w:val="center"/>
          </w:tcPr>
          <w:p w14:paraId="0A3BCC1B" w14:textId="4DF6640A"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Drivers of ChatGPT Usage Intensity among Accounting Students in Indonesia Higher Education Institutions: The Moderating Effect of Academic Utilization</w:t>
            </w:r>
          </w:p>
        </w:tc>
      </w:tr>
      <w:tr w:rsidR="004066FB" w:rsidRPr="00AE1338" w14:paraId="5C01D4F2" w14:textId="77777777" w:rsidTr="00707EBD">
        <w:trPr>
          <w:jc w:val="center"/>
        </w:trPr>
        <w:tc>
          <w:tcPr>
            <w:tcW w:w="1696" w:type="dxa"/>
            <w:vAlign w:val="center"/>
          </w:tcPr>
          <w:p w14:paraId="4F80AC68" w14:textId="47C31BB9"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10:20–10:40</w:t>
            </w:r>
          </w:p>
        </w:tc>
        <w:tc>
          <w:tcPr>
            <w:tcW w:w="1701" w:type="dxa"/>
            <w:vAlign w:val="center"/>
          </w:tcPr>
          <w:p w14:paraId="1662EC26" w14:textId="0068A216"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102</w:t>
            </w:r>
          </w:p>
        </w:tc>
        <w:tc>
          <w:tcPr>
            <w:tcW w:w="6339" w:type="dxa"/>
            <w:vAlign w:val="center"/>
          </w:tcPr>
          <w:p w14:paraId="6C0A2387" w14:textId="491EE049"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Artificial Intelligence and Accounting Students’ Creativity, Habit, and Critical Thinking in Using Accounting Software</w:t>
            </w:r>
          </w:p>
        </w:tc>
      </w:tr>
      <w:tr w:rsidR="004066FB" w:rsidRPr="00AE1338" w14:paraId="36197BDB" w14:textId="77777777" w:rsidTr="00707EBD">
        <w:trPr>
          <w:jc w:val="center"/>
        </w:trPr>
        <w:tc>
          <w:tcPr>
            <w:tcW w:w="1696" w:type="dxa"/>
            <w:vAlign w:val="center"/>
          </w:tcPr>
          <w:p w14:paraId="4D533F20" w14:textId="05D74262"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10:40–11:00</w:t>
            </w:r>
          </w:p>
        </w:tc>
        <w:tc>
          <w:tcPr>
            <w:tcW w:w="1701" w:type="dxa"/>
            <w:vAlign w:val="center"/>
          </w:tcPr>
          <w:p w14:paraId="0DA98818" w14:textId="408F3680"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103</w:t>
            </w:r>
          </w:p>
        </w:tc>
        <w:tc>
          <w:tcPr>
            <w:tcW w:w="6339" w:type="dxa"/>
            <w:vAlign w:val="center"/>
          </w:tcPr>
          <w:p w14:paraId="3BD6AF8D" w14:textId="512A9687"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Integrating AI-Based Continuous Emission Monitoring Systems into Corporate Reporting and Carbon Tax Enforcement: A Comprehensive Review and Integrated Framework</w:t>
            </w:r>
          </w:p>
        </w:tc>
      </w:tr>
      <w:tr w:rsidR="004066FB" w:rsidRPr="00AE1338" w14:paraId="12AD4B19" w14:textId="77777777" w:rsidTr="00707EBD">
        <w:trPr>
          <w:jc w:val="center"/>
        </w:trPr>
        <w:tc>
          <w:tcPr>
            <w:tcW w:w="1696" w:type="dxa"/>
            <w:vAlign w:val="center"/>
          </w:tcPr>
          <w:p w14:paraId="0AB14CEA" w14:textId="420A759D"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11:00–11:20</w:t>
            </w:r>
          </w:p>
        </w:tc>
        <w:tc>
          <w:tcPr>
            <w:tcW w:w="1701" w:type="dxa"/>
            <w:vAlign w:val="center"/>
          </w:tcPr>
          <w:p w14:paraId="4EE06401" w14:textId="69DDA490"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106</w:t>
            </w:r>
          </w:p>
        </w:tc>
        <w:tc>
          <w:tcPr>
            <w:tcW w:w="6339" w:type="dxa"/>
            <w:vAlign w:val="center"/>
          </w:tcPr>
          <w:p w14:paraId="116960A5" w14:textId="76FF1B40"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What Drives Students to Adopt Cloud Computing? Evidence from Higher Education</w:t>
            </w:r>
          </w:p>
        </w:tc>
      </w:tr>
      <w:tr w:rsidR="004066FB" w:rsidRPr="00AE1338" w14:paraId="375C7BB1" w14:textId="77777777" w:rsidTr="00707EBD">
        <w:trPr>
          <w:jc w:val="center"/>
        </w:trPr>
        <w:tc>
          <w:tcPr>
            <w:tcW w:w="1696" w:type="dxa"/>
            <w:vAlign w:val="center"/>
          </w:tcPr>
          <w:p w14:paraId="1D26B78E" w14:textId="3B19A199"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11:20–11:40</w:t>
            </w:r>
          </w:p>
        </w:tc>
        <w:tc>
          <w:tcPr>
            <w:tcW w:w="1701" w:type="dxa"/>
            <w:vAlign w:val="center"/>
          </w:tcPr>
          <w:p w14:paraId="715C8246" w14:textId="33C55884"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108</w:t>
            </w:r>
          </w:p>
        </w:tc>
        <w:tc>
          <w:tcPr>
            <w:tcW w:w="6339" w:type="dxa"/>
            <w:vAlign w:val="center"/>
          </w:tcPr>
          <w:p w14:paraId="04FEA068" w14:textId="34E199F1"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The Influence of Financial Inclusion and Environmental Responsibility on Economic Sustainability: The Mediating Role of ICT Usage in Indonesia</w:t>
            </w:r>
          </w:p>
        </w:tc>
      </w:tr>
      <w:tr w:rsidR="004066FB" w:rsidRPr="00AE1338" w14:paraId="58F1A039" w14:textId="77777777" w:rsidTr="00707EBD">
        <w:trPr>
          <w:jc w:val="center"/>
        </w:trPr>
        <w:tc>
          <w:tcPr>
            <w:tcW w:w="1696" w:type="dxa"/>
            <w:vAlign w:val="center"/>
          </w:tcPr>
          <w:p w14:paraId="7201FAD5" w14:textId="3A3AE28B"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11:40–12:00</w:t>
            </w:r>
          </w:p>
        </w:tc>
        <w:tc>
          <w:tcPr>
            <w:tcW w:w="1701" w:type="dxa"/>
            <w:vAlign w:val="center"/>
          </w:tcPr>
          <w:p w14:paraId="5100ACCC" w14:textId="4DDB9229"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109</w:t>
            </w:r>
          </w:p>
        </w:tc>
        <w:tc>
          <w:tcPr>
            <w:tcW w:w="6339" w:type="dxa"/>
            <w:vAlign w:val="center"/>
          </w:tcPr>
          <w:p w14:paraId="21F1EBD9" w14:textId="7B83000A"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AI-Based News Sentiment and Stock Market Returns in the Context of Institutional Uncertainty: Evidence from Indonesia 2023-2025</w:t>
            </w:r>
          </w:p>
        </w:tc>
      </w:tr>
      <w:tr w:rsidR="004066FB" w:rsidRPr="00AE1338" w14:paraId="7F95BC1A" w14:textId="77777777" w:rsidTr="00707EBD">
        <w:trPr>
          <w:jc w:val="center"/>
        </w:trPr>
        <w:tc>
          <w:tcPr>
            <w:tcW w:w="1696" w:type="dxa"/>
            <w:vAlign w:val="center"/>
          </w:tcPr>
          <w:p w14:paraId="489C93FB" w14:textId="43B86E81"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w:t>
            </w:r>
            <w:r>
              <w:rPr>
                <w:rFonts w:ascii="Arial" w:hAnsi="Arial" w:cs="Arial"/>
                <w:b/>
                <w:bCs/>
                <w:color w:val="000000"/>
                <w:sz w:val="20"/>
                <w:szCs w:val="20"/>
              </w:rPr>
              <w:t>2</w:t>
            </w:r>
            <w:r w:rsidRPr="004066FB">
              <w:rPr>
                <w:rFonts w:ascii="Arial" w:hAnsi="Arial" w:cs="Arial"/>
                <w:b/>
                <w:bCs/>
                <w:color w:val="000000"/>
                <w:sz w:val="20"/>
                <w:szCs w:val="20"/>
              </w:rPr>
              <w:t>:00–1</w:t>
            </w:r>
            <w:r>
              <w:rPr>
                <w:rFonts w:ascii="Arial" w:hAnsi="Arial" w:cs="Arial"/>
                <w:b/>
                <w:bCs/>
                <w:color w:val="000000"/>
                <w:sz w:val="20"/>
                <w:szCs w:val="20"/>
              </w:rPr>
              <w:t>2</w:t>
            </w:r>
            <w:r w:rsidRPr="004066FB">
              <w:rPr>
                <w:rFonts w:ascii="Arial" w:hAnsi="Arial" w:cs="Arial"/>
                <w:b/>
                <w:bCs/>
                <w:color w:val="000000"/>
                <w:sz w:val="20"/>
                <w:szCs w:val="20"/>
              </w:rPr>
              <w:t>:20</w:t>
            </w:r>
          </w:p>
        </w:tc>
        <w:tc>
          <w:tcPr>
            <w:tcW w:w="1701" w:type="dxa"/>
            <w:vAlign w:val="center"/>
          </w:tcPr>
          <w:p w14:paraId="39E5E5E4" w14:textId="6BA574F8"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110</w:t>
            </w:r>
          </w:p>
        </w:tc>
        <w:tc>
          <w:tcPr>
            <w:tcW w:w="6339" w:type="dxa"/>
            <w:vAlign w:val="center"/>
          </w:tcPr>
          <w:p w14:paraId="43B13046" w14:textId="4585392B"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The Effect of Digital Transformation on the Financial Performance of Banks in Southeast Asia Emerging Market Countries</w:t>
            </w:r>
          </w:p>
        </w:tc>
      </w:tr>
    </w:tbl>
    <w:p w14:paraId="5E34188A" w14:textId="77777777" w:rsidR="002A356F" w:rsidRDefault="002A356F" w:rsidP="00A51969">
      <w:pPr>
        <w:spacing w:after="0" w:line="240" w:lineRule="auto"/>
        <w:rPr>
          <w:rFonts w:ascii="Arial" w:hAnsi="Arial" w:cs="Arial"/>
          <w:b/>
          <w:bCs/>
          <w:sz w:val="20"/>
          <w:szCs w:val="20"/>
          <w:lang w:val="en-US"/>
        </w:rPr>
      </w:pPr>
    </w:p>
    <w:p w14:paraId="2F720611" w14:textId="77777777" w:rsidR="008959E8" w:rsidRDefault="008959E8" w:rsidP="00A51969">
      <w:pPr>
        <w:spacing w:after="0" w:line="240" w:lineRule="auto"/>
        <w:rPr>
          <w:rFonts w:ascii="Arial" w:hAnsi="Arial" w:cs="Arial"/>
          <w:b/>
          <w:bCs/>
          <w:sz w:val="20"/>
          <w:szCs w:val="20"/>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701"/>
        <w:gridCol w:w="6339"/>
      </w:tblGrid>
      <w:tr w:rsidR="00A91B43" w:rsidRPr="00AE1338" w14:paraId="6780ABA7" w14:textId="77777777" w:rsidTr="007C6E48">
        <w:trPr>
          <w:jc w:val="center"/>
        </w:trPr>
        <w:tc>
          <w:tcPr>
            <w:tcW w:w="0" w:type="auto"/>
            <w:gridSpan w:val="3"/>
            <w:vAlign w:val="center"/>
          </w:tcPr>
          <w:p w14:paraId="3CC11BB0" w14:textId="77777777" w:rsidR="00A91B43" w:rsidRPr="00AE1338" w:rsidRDefault="00A91B43" w:rsidP="00A51969">
            <w:pPr>
              <w:spacing w:after="0" w:line="240" w:lineRule="auto"/>
              <w:jc w:val="right"/>
              <w:rPr>
                <w:rFonts w:ascii="Arial" w:hAnsi="Arial" w:cs="Arial"/>
                <w:b/>
                <w:bCs/>
                <w:sz w:val="20"/>
                <w:szCs w:val="20"/>
                <w:lang w:val="en-US"/>
              </w:rPr>
            </w:pPr>
            <w:r>
              <w:rPr>
                <w:rFonts w:ascii="Arial" w:hAnsi="Arial" w:cs="Arial"/>
                <w:b/>
                <w:bCs/>
                <w:sz w:val="20"/>
                <w:szCs w:val="20"/>
                <w:lang w:val="en-US"/>
              </w:rPr>
              <w:t>20</w:t>
            </w:r>
            <w:r w:rsidRPr="00AE1338">
              <w:rPr>
                <w:rFonts w:ascii="Arial" w:hAnsi="Arial" w:cs="Arial"/>
                <w:b/>
                <w:bCs/>
                <w:sz w:val="20"/>
                <w:szCs w:val="20"/>
                <w:vertAlign w:val="superscript"/>
                <w:lang w:val="en-US"/>
              </w:rPr>
              <w:t>th</w:t>
            </w:r>
            <w:r w:rsidRPr="00AE1338">
              <w:rPr>
                <w:rFonts w:ascii="Arial" w:hAnsi="Arial" w:cs="Arial"/>
                <w:b/>
                <w:bCs/>
                <w:sz w:val="20"/>
                <w:szCs w:val="20"/>
                <w:lang w:val="en-US"/>
              </w:rPr>
              <w:t xml:space="preserve"> August 2025</w:t>
            </w:r>
          </w:p>
          <w:p w14:paraId="57500D45" w14:textId="0E764814" w:rsidR="00A91B43" w:rsidRPr="00AE1338" w:rsidRDefault="00971246" w:rsidP="00A51969">
            <w:pPr>
              <w:spacing w:after="0" w:line="240" w:lineRule="auto"/>
              <w:jc w:val="center"/>
              <w:rPr>
                <w:rFonts w:ascii="Arial" w:hAnsi="Arial" w:cs="Arial"/>
                <w:b/>
                <w:bCs/>
                <w:sz w:val="20"/>
                <w:szCs w:val="20"/>
                <w:lang w:val="en-US"/>
              </w:rPr>
            </w:pPr>
            <w:r>
              <w:rPr>
                <w:rFonts w:ascii="Arial" w:hAnsi="Arial" w:cs="Arial"/>
                <w:b/>
                <w:bCs/>
                <w:sz w:val="20"/>
                <w:szCs w:val="20"/>
                <w:lang w:val="en-US"/>
              </w:rPr>
              <w:t xml:space="preserve">Parallel Session </w:t>
            </w:r>
            <w:r w:rsidR="00A91B43">
              <w:rPr>
                <w:rFonts w:ascii="Arial" w:hAnsi="Arial" w:cs="Arial"/>
                <w:b/>
                <w:bCs/>
                <w:sz w:val="20"/>
                <w:szCs w:val="20"/>
                <w:lang w:val="en-US"/>
              </w:rPr>
              <w:t>G</w:t>
            </w:r>
          </w:p>
          <w:p w14:paraId="351A0435" w14:textId="5D67F567" w:rsidR="00A91B43" w:rsidRPr="00AE1338" w:rsidRDefault="00A91B43" w:rsidP="00A51969">
            <w:pPr>
              <w:spacing w:after="0" w:line="240" w:lineRule="auto"/>
              <w:rPr>
                <w:rFonts w:ascii="Arial" w:hAnsi="Arial" w:cs="Arial"/>
                <w:b/>
                <w:bCs/>
                <w:sz w:val="20"/>
                <w:szCs w:val="20"/>
                <w:lang w:val="en-US"/>
              </w:rPr>
            </w:pPr>
            <w:r w:rsidRPr="00AE1338">
              <w:rPr>
                <w:rFonts w:ascii="Arial" w:hAnsi="Arial" w:cs="Arial"/>
                <w:b/>
                <w:bCs/>
                <w:sz w:val="20"/>
                <w:szCs w:val="20"/>
                <w:lang w:val="en-US"/>
              </w:rPr>
              <w:t>Session Chair:</w:t>
            </w:r>
            <w:r>
              <w:rPr>
                <w:rFonts w:ascii="Arial" w:hAnsi="Arial" w:cs="Arial"/>
                <w:b/>
                <w:bCs/>
                <w:sz w:val="20"/>
                <w:szCs w:val="20"/>
                <w:lang w:val="en-US"/>
              </w:rPr>
              <w:t xml:space="preserve"> </w:t>
            </w:r>
            <w:r w:rsidR="00820D15" w:rsidRPr="00820D15">
              <w:rPr>
                <w:rFonts w:ascii="Arial" w:hAnsi="Arial" w:cs="Arial"/>
                <w:b/>
                <w:bCs/>
                <w:sz w:val="20"/>
                <w:szCs w:val="20"/>
                <w:lang w:val="en-US"/>
              </w:rPr>
              <w:t xml:space="preserve">Dr.Ir. Fajar Pradana, S.ST., </w:t>
            </w:r>
            <w:proofErr w:type="gramStart"/>
            <w:r w:rsidR="00820D15" w:rsidRPr="00820D15">
              <w:rPr>
                <w:rFonts w:ascii="Arial" w:hAnsi="Arial" w:cs="Arial"/>
                <w:b/>
                <w:bCs/>
                <w:sz w:val="20"/>
                <w:szCs w:val="20"/>
                <w:lang w:val="en-US"/>
              </w:rPr>
              <w:t>M.Eng</w:t>
            </w:r>
            <w:proofErr w:type="gramEnd"/>
          </w:p>
          <w:p w14:paraId="42202D8F" w14:textId="77777777" w:rsidR="00A91B43" w:rsidRPr="00AE1338" w:rsidRDefault="00A91B43" w:rsidP="00A51969">
            <w:pPr>
              <w:spacing w:after="0" w:line="240" w:lineRule="auto"/>
              <w:rPr>
                <w:rFonts w:ascii="Arial" w:hAnsi="Arial" w:cs="Arial"/>
                <w:b/>
                <w:bCs/>
                <w:sz w:val="20"/>
                <w:szCs w:val="20"/>
                <w:lang w:val="en-US"/>
              </w:rPr>
            </w:pPr>
            <w:r w:rsidRPr="00AE1338">
              <w:rPr>
                <w:rFonts w:ascii="Arial" w:hAnsi="Arial" w:cs="Arial"/>
                <w:b/>
                <w:bCs/>
                <w:sz w:val="20"/>
                <w:szCs w:val="20"/>
                <w:lang w:val="en-US"/>
              </w:rPr>
              <w:t xml:space="preserve">Location: </w:t>
            </w:r>
            <w:r>
              <w:rPr>
                <w:rFonts w:ascii="Arial" w:hAnsi="Arial" w:cs="Arial"/>
                <w:b/>
                <w:bCs/>
                <w:sz w:val="20"/>
                <w:szCs w:val="20"/>
                <w:lang w:val="en-US"/>
              </w:rPr>
              <w:t xml:space="preserve">Online </w:t>
            </w:r>
          </w:p>
        </w:tc>
      </w:tr>
      <w:tr w:rsidR="004B65CC" w:rsidRPr="00AE1338" w14:paraId="1062D632" w14:textId="77777777" w:rsidTr="007C6E48">
        <w:trPr>
          <w:jc w:val="center"/>
        </w:trPr>
        <w:tc>
          <w:tcPr>
            <w:tcW w:w="1696" w:type="dxa"/>
            <w:vAlign w:val="center"/>
          </w:tcPr>
          <w:p w14:paraId="4E46044D" w14:textId="77777777" w:rsidR="004B65CC" w:rsidRPr="00AE1338" w:rsidRDefault="004B65CC" w:rsidP="00A51969">
            <w:pPr>
              <w:spacing w:after="0" w:line="240" w:lineRule="auto"/>
              <w:jc w:val="center"/>
              <w:rPr>
                <w:rFonts w:ascii="Arial" w:hAnsi="Arial" w:cs="Arial"/>
                <w:b/>
                <w:bCs/>
                <w:sz w:val="20"/>
                <w:szCs w:val="20"/>
                <w:lang w:val="en-US"/>
              </w:rPr>
            </w:pPr>
            <w:r>
              <w:rPr>
                <w:rFonts w:ascii="Arial" w:hAnsi="Arial" w:cs="Arial"/>
                <w:b/>
                <w:bCs/>
                <w:sz w:val="20"/>
                <w:szCs w:val="20"/>
                <w:lang w:val="en-US"/>
              </w:rPr>
              <w:lastRenderedPageBreak/>
              <w:t>Time (Istanbul Turkiye)</w:t>
            </w:r>
          </w:p>
        </w:tc>
        <w:tc>
          <w:tcPr>
            <w:tcW w:w="1701" w:type="dxa"/>
            <w:vAlign w:val="center"/>
          </w:tcPr>
          <w:p w14:paraId="6F1FE79E" w14:textId="265856C9" w:rsidR="004B65CC" w:rsidRPr="00AE1338" w:rsidRDefault="004B65CC" w:rsidP="00A51969">
            <w:pPr>
              <w:spacing w:after="0" w:line="240" w:lineRule="auto"/>
              <w:jc w:val="center"/>
              <w:rPr>
                <w:rFonts w:ascii="Arial" w:hAnsi="Arial" w:cs="Arial"/>
                <w:b/>
                <w:bCs/>
                <w:sz w:val="20"/>
                <w:szCs w:val="20"/>
                <w:lang w:val="en-US"/>
              </w:rPr>
            </w:pPr>
            <w:r w:rsidRPr="00E84230">
              <w:rPr>
                <w:rFonts w:ascii="Arial" w:hAnsi="Arial" w:cs="Arial"/>
                <w:b/>
                <w:bCs/>
                <w:sz w:val="20"/>
                <w:szCs w:val="20"/>
                <w:lang w:val="en-US"/>
              </w:rPr>
              <w:t xml:space="preserve">Paper </w:t>
            </w:r>
            <w:r>
              <w:rPr>
                <w:rFonts w:ascii="Arial" w:hAnsi="Arial" w:cs="Arial"/>
                <w:b/>
                <w:bCs/>
                <w:sz w:val="20"/>
                <w:szCs w:val="20"/>
                <w:lang w:val="en-US"/>
              </w:rPr>
              <w:t>ID</w:t>
            </w:r>
          </w:p>
        </w:tc>
        <w:tc>
          <w:tcPr>
            <w:tcW w:w="6339" w:type="dxa"/>
            <w:vAlign w:val="center"/>
          </w:tcPr>
          <w:p w14:paraId="36059CF3" w14:textId="54E40514" w:rsidR="004B65CC" w:rsidRPr="00AE1338" w:rsidRDefault="004B65CC" w:rsidP="00A51969">
            <w:pPr>
              <w:spacing w:after="0" w:line="240" w:lineRule="auto"/>
              <w:jc w:val="center"/>
              <w:rPr>
                <w:rFonts w:ascii="Arial" w:hAnsi="Arial" w:cs="Arial"/>
                <w:b/>
                <w:bCs/>
                <w:sz w:val="20"/>
                <w:szCs w:val="20"/>
                <w:lang w:val="en-US"/>
              </w:rPr>
            </w:pPr>
            <w:r w:rsidRPr="00E84230">
              <w:rPr>
                <w:rFonts w:ascii="Arial" w:hAnsi="Arial" w:cs="Arial"/>
                <w:b/>
                <w:bCs/>
                <w:sz w:val="20"/>
                <w:szCs w:val="20"/>
                <w:lang w:val="en-US"/>
              </w:rPr>
              <w:t>Paper</w:t>
            </w:r>
            <w:r>
              <w:rPr>
                <w:rFonts w:ascii="Arial" w:hAnsi="Arial" w:cs="Arial"/>
                <w:b/>
                <w:bCs/>
                <w:sz w:val="20"/>
                <w:szCs w:val="20"/>
                <w:lang w:val="en-US"/>
              </w:rPr>
              <w:t xml:space="preserve"> Title</w:t>
            </w:r>
          </w:p>
        </w:tc>
      </w:tr>
      <w:tr w:rsidR="004066FB" w:rsidRPr="00AE1338" w14:paraId="3D135385" w14:textId="77777777" w:rsidTr="00D21FF5">
        <w:trPr>
          <w:jc w:val="center"/>
        </w:trPr>
        <w:tc>
          <w:tcPr>
            <w:tcW w:w="1696" w:type="dxa"/>
            <w:vAlign w:val="center"/>
          </w:tcPr>
          <w:p w14:paraId="3ABFED51" w14:textId="52255548" w:rsidR="004066FB"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09:00–09:20</w:t>
            </w:r>
          </w:p>
        </w:tc>
        <w:tc>
          <w:tcPr>
            <w:tcW w:w="1701" w:type="dxa"/>
            <w:vAlign w:val="center"/>
          </w:tcPr>
          <w:p w14:paraId="70001C42" w14:textId="0F5238E5"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111</w:t>
            </w:r>
          </w:p>
        </w:tc>
        <w:tc>
          <w:tcPr>
            <w:tcW w:w="6339" w:type="dxa"/>
            <w:vAlign w:val="center"/>
          </w:tcPr>
          <w:p w14:paraId="4F48F607" w14:textId="605D5D44"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Generative AI Use, AI Competency, and Learning Outcomes among Accounting Students: Evidence from Indonesian Higher Education</w:t>
            </w:r>
          </w:p>
        </w:tc>
      </w:tr>
      <w:tr w:rsidR="004066FB" w:rsidRPr="00AE1338" w14:paraId="65BC813E" w14:textId="77777777" w:rsidTr="00D21FF5">
        <w:trPr>
          <w:jc w:val="center"/>
        </w:trPr>
        <w:tc>
          <w:tcPr>
            <w:tcW w:w="1696" w:type="dxa"/>
            <w:vAlign w:val="center"/>
          </w:tcPr>
          <w:p w14:paraId="2977DB27" w14:textId="6F0EDC2D"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09:20–09:40</w:t>
            </w:r>
          </w:p>
        </w:tc>
        <w:tc>
          <w:tcPr>
            <w:tcW w:w="1701" w:type="dxa"/>
            <w:vAlign w:val="center"/>
          </w:tcPr>
          <w:p w14:paraId="761F25BB" w14:textId="78CFDCC1"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112</w:t>
            </w:r>
          </w:p>
        </w:tc>
        <w:tc>
          <w:tcPr>
            <w:tcW w:w="6339" w:type="dxa"/>
            <w:vAlign w:val="center"/>
          </w:tcPr>
          <w:p w14:paraId="23F76A7A" w14:textId="5954DD42"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AI-Driven Personalization and Consumer Financial Behavior: Evidence from Generation Z in Indonesia’s E-Commerce Ecosystem</w:t>
            </w:r>
          </w:p>
        </w:tc>
      </w:tr>
      <w:tr w:rsidR="004066FB" w:rsidRPr="00AE1338" w14:paraId="763AC937" w14:textId="77777777" w:rsidTr="00D21FF5">
        <w:trPr>
          <w:jc w:val="center"/>
        </w:trPr>
        <w:tc>
          <w:tcPr>
            <w:tcW w:w="1696" w:type="dxa"/>
            <w:vAlign w:val="center"/>
          </w:tcPr>
          <w:p w14:paraId="0BB706D6" w14:textId="2DEC3CBB"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09:40–10:00</w:t>
            </w:r>
          </w:p>
        </w:tc>
        <w:tc>
          <w:tcPr>
            <w:tcW w:w="1701" w:type="dxa"/>
            <w:vAlign w:val="center"/>
          </w:tcPr>
          <w:p w14:paraId="078DF505" w14:textId="27B924A4"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113</w:t>
            </w:r>
          </w:p>
        </w:tc>
        <w:tc>
          <w:tcPr>
            <w:tcW w:w="6339" w:type="dxa"/>
            <w:vAlign w:val="center"/>
          </w:tcPr>
          <w:p w14:paraId="6BFD79E9" w14:textId="04BF5E21"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The Role of Trust in Robo-Advisor Systems and Per-ceived Usefulness in Shaping Retail Investors’ Behavioral Intention to Use Robo-Advisors</w:t>
            </w:r>
          </w:p>
        </w:tc>
      </w:tr>
      <w:tr w:rsidR="004066FB" w:rsidRPr="00AE1338" w14:paraId="35EA0684" w14:textId="77777777" w:rsidTr="00D21FF5">
        <w:trPr>
          <w:jc w:val="center"/>
        </w:trPr>
        <w:tc>
          <w:tcPr>
            <w:tcW w:w="1696" w:type="dxa"/>
            <w:vAlign w:val="center"/>
          </w:tcPr>
          <w:p w14:paraId="484640A3" w14:textId="42AE5614"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10:00–10:20</w:t>
            </w:r>
          </w:p>
        </w:tc>
        <w:tc>
          <w:tcPr>
            <w:tcW w:w="1701" w:type="dxa"/>
            <w:vAlign w:val="center"/>
          </w:tcPr>
          <w:p w14:paraId="4A2A7838" w14:textId="3C8AD475"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114</w:t>
            </w:r>
          </w:p>
        </w:tc>
        <w:tc>
          <w:tcPr>
            <w:tcW w:w="6339" w:type="dxa"/>
            <w:vAlign w:val="center"/>
          </w:tcPr>
          <w:p w14:paraId="5A52CF5D" w14:textId="35055662"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The Effect of AI-Based Robo Advisor on Investment Decision Making Among Retailer Investors</w:t>
            </w:r>
          </w:p>
        </w:tc>
      </w:tr>
      <w:tr w:rsidR="004066FB" w:rsidRPr="00AE1338" w14:paraId="17F1D9E7" w14:textId="77777777" w:rsidTr="00D21FF5">
        <w:trPr>
          <w:jc w:val="center"/>
        </w:trPr>
        <w:tc>
          <w:tcPr>
            <w:tcW w:w="1696" w:type="dxa"/>
            <w:vAlign w:val="center"/>
          </w:tcPr>
          <w:p w14:paraId="6E08C6B9" w14:textId="05458E87"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10:20–10:40</w:t>
            </w:r>
          </w:p>
        </w:tc>
        <w:tc>
          <w:tcPr>
            <w:tcW w:w="1701" w:type="dxa"/>
            <w:vAlign w:val="center"/>
          </w:tcPr>
          <w:p w14:paraId="61BCA011" w14:textId="28CFCB30"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115</w:t>
            </w:r>
          </w:p>
        </w:tc>
        <w:tc>
          <w:tcPr>
            <w:tcW w:w="6339" w:type="dxa"/>
            <w:vAlign w:val="center"/>
          </w:tcPr>
          <w:p w14:paraId="1C558591" w14:textId="46B2C542"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The Role of Digital Transformation in Mitigating Tax Aggressiveness in Energy and Industrial Companies</w:t>
            </w:r>
          </w:p>
        </w:tc>
      </w:tr>
      <w:tr w:rsidR="004066FB" w:rsidRPr="00AE1338" w14:paraId="4F466545" w14:textId="77777777" w:rsidTr="00D21FF5">
        <w:trPr>
          <w:jc w:val="center"/>
        </w:trPr>
        <w:tc>
          <w:tcPr>
            <w:tcW w:w="1696" w:type="dxa"/>
            <w:vAlign w:val="center"/>
          </w:tcPr>
          <w:p w14:paraId="34413EAC" w14:textId="473CE6BE"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10:40–11:00</w:t>
            </w:r>
          </w:p>
        </w:tc>
        <w:tc>
          <w:tcPr>
            <w:tcW w:w="1701" w:type="dxa"/>
            <w:vAlign w:val="center"/>
          </w:tcPr>
          <w:p w14:paraId="460E1876" w14:textId="53464021"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116</w:t>
            </w:r>
          </w:p>
        </w:tc>
        <w:tc>
          <w:tcPr>
            <w:tcW w:w="6339" w:type="dxa"/>
            <w:vAlign w:val="center"/>
          </w:tcPr>
          <w:p w14:paraId="25CD47C0" w14:textId="491712F2"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From Fans to Victims: How Important Is Financial Literacy for Concert Ticket Cybercrime Victims?</w:t>
            </w:r>
          </w:p>
        </w:tc>
      </w:tr>
      <w:tr w:rsidR="004066FB" w:rsidRPr="00AE1338" w14:paraId="1D7859DB" w14:textId="77777777" w:rsidTr="00D21FF5">
        <w:trPr>
          <w:jc w:val="center"/>
        </w:trPr>
        <w:tc>
          <w:tcPr>
            <w:tcW w:w="1696" w:type="dxa"/>
            <w:vAlign w:val="center"/>
          </w:tcPr>
          <w:p w14:paraId="5AA7DDB5" w14:textId="177A4CCD"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11:00–11:20</w:t>
            </w:r>
          </w:p>
        </w:tc>
        <w:tc>
          <w:tcPr>
            <w:tcW w:w="1701" w:type="dxa"/>
            <w:vAlign w:val="center"/>
          </w:tcPr>
          <w:p w14:paraId="74F15A31" w14:textId="153EA968"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119</w:t>
            </w:r>
          </w:p>
        </w:tc>
        <w:tc>
          <w:tcPr>
            <w:tcW w:w="6339" w:type="dxa"/>
            <w:vAlign w:val="center"/>
          </w:tcPr>
          <w:p w14:paraId="6A1E0A27" w14:textId="1FF5A5F1"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 xml:space="preserve">Why Do We Shop Unconsciously? Exploring Parasocial Relationships with Micro-Influencers and FoMO on </w:t>
            </w:r>
            <w:proofErr w:type="gramStart"/>
            <w:r>
              <w:rPr>
                <w:rFonts w:ascii="Arial" w:hAnsi="Arial" w:cs="Arial"/>
                <w:color w:val="000000"/>
                <w:sz w:val="20"/>
                <w:szCs w:val="20"/>
              </w:rPr>
              <w:t>Social Media</w:t>
            </w:r>
            <w:proofErr w:type="gramEnd"/>
          </w:p>
        </w:tc>
      </w:tr>
      <w:tr w:rsidR="004066FB" w:rsidRPr="00AE1338" w14:paraId="4F9F511D" w14:textId="77777777" w:rsidTr="00D21FF5">
        <w:trPr>
          <w:jc w:val="center"/>
        </w:trPr>
        <w:tc>
          <w:tcPr>
            <w:tcW w:w="1696" w:type="dxa"/>
            <w:vAlign w:val="center"/>
          </w:tcPr>
          <w:p w14:paraId="2D1BD850" w14:textId="58A76AB3"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11:20–11:40</w:t>
            </w:r>
          </w:p>
        </w:tc>
        <w:tc>
          <w:tcPr>
            <w:tcW w:w="1701" w:type="dxa"/>
            <w:vAlign w:val="center"/>
          </w:tcPr>
          <w:p w14:paraId="20463FEB" w14:textId="2DEBDA01"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120</w:t>
            </w:r>
          </w:p>
        </w:tc>
        <w:tc>
          <w:tcPr>
            <w:tcW w:w="6339" w:type="dxa"/>
            <w:vAlign w:val="center"/>
          </w:tcPr>
          <w:p w14:paraId="420EDF75" w14:textId="4C172ED5"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Analyzing Impulsive Buying and Risky Indebtedness Behavior in The Use of Buy Now Pay Later (BNPL) Services</w:t>
            </w:r>
          </w:p>
        </w:tc>
      </w:tr>
      <w:tr w:rsidR="004066FB" w:rsidRPr="00AE1338" w14:paraId="5C994DE9" w14:textId="77777777" w:rsidTr="00D21FF5">
        <w:trPr>
          <w:jc w:val="center"/>
        </w:trPr>
        <w:tc>
          <w:tcPr>
            <w:tcW w:w="1696" w:type="dxa"/>
            <w:vAlign w:val="center"/>
          </w:tcPr>
          <w:p w14:paraId="2DF7958F" w14:textId="276C2578"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11:40–12:00</w:t>
            </w:r>
          </w:p>
        </w:tc>
        <w:tc>
          <w:tcPr>
            <w:tcW w:w="1701" w:type="dxa"/>
            <w:vAlign w:val="center"/>
          </w:tcPr>
          <w:p w14:paraId="0E31687E" w14:textId="306C6C62"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122</w:t>
            </w:r>
          </w:p>
        </w:tc>
        <w:tc>
          <w:tcPr>
            <w:tcW w:w="6339" w:type="dxa"/>
            <w:vAlign w:val="center"/>
          </w:tcPr>
          <w:p w14:paraId="18825F93" w14:textId="4A86BE9F"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Reframing Programming Education in the Age of Generative AI: A Critical Review of Pedagogy, Equity, Ethics, and Institutional Readiness</w:t>
            </w:r>
          </w:p>
        </w:tc>
      </w:tr>
      <w:tr w:rsidR="004066FB" w:rsidRPr="00AE1338" w14:paraId="306971BE" w14:textId="77777777" w:rsidTr="00D21FF5">
        <w:trPr>
          <w:jc w:val="center"/>
        </w:trPr>
        <w:tc>
          <w:tcPr>
            <w:tcW w:w="1696" w:type="dxa"/>
            <w:vAlign w:val="center"/>
          </w:tcPr>
          <w:p w14:paraId="004ED6BD" w14:textId="6B1B30AE"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w:t>
            </w:r>
            <w:r>
              <w:rPr>
                <w:rFonts w:ascii="Arial" w:hAnsi="Arial" w:cs="Arial"/>
                <w:b/>
                <w:bCs/>
                <w:color w:val="000000"/>
                <w:sz w:val="20"/>
                <w:szCs w:val="20"/>
              </w:rPr>
              <w:t>2</w:t>
            </w:r>
            <w:r w:rsidRPr="004066FB">
              <w:rPr>
                <w:rFonts w:ascii="Arial" w:hAnsi="Arial" w:cs="Arial"/>
                <w:b/>
                <w:bCs/>
                <w:color w:val="000000"/>
                <w:sz w:val="20"/>
                <w:szCs w:val="20"/>
              </w:rPr>
              <w:t>:00–1</w:t>
            </w:r>
            <w:r>
              <w:rPr>
                <w:rFonts w:ascii="Arial" w:hAnsi="Arial" w:cs="Arial"/>
                <w:b/>
                <w:bCs/>
                <w:color w:val="000000"/>
                <w:sz w:val="20"/>
                <w:szCs w:val="20"/>
              </w:rPr>
              <w:t>2</w:t>
            </w:r>
            <w:r w:rsidRPr="004066FB">
              <w:rPr>
                <w:rFonts w:ascii="Arial" w:hAnsi="Arial" w:cs="Arial"/>
                <w:b/>
                <w:bCs/>
                <w:color w:val="000000"/>
                <w:sz w:val="20"/>
                <w:szCs w:val="20"/>
              </w:rPr>
              <w:t>:20</w:t>
            </w:r>
          </w:p>
        </w:tc>
        <w:tc>
          <w:tcPr>
            <w:tcW w:w="1701" w:type="dxa"/>
            <w:vAlign w:val="center"/>
          </w:tcPr>
          <w:p w14:paraId="6B90C422" w14:textId="2E4BBD7E"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124</w:t>
            </w:r>
          </w:p>
        </w:tc>
        <w:tc>
          <w:tcPr>
            <w:tcW w:w="6339" w:type="dxa"/>
            <w:vAlign w:val="center"/>
          </w:tcPr>
          <w:p w14:paraId="2BC14464" w14:textId="2AB15B8C"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When Informed Capital Exits, Do Stock Prices Continue to Rise? The Role of Retail Investor Herding in Price Formation in the Indonesian Stock Market</w:t>
            </w:r>
          </w:p>
        </w:tc>
      </w:tr>
    </w:tbl>
    <w:p w14:paraId="4FC46770" w14:textId="77777777" w:rsidR="00A91B43" w:rsidRDefault="00A91B43" w:rsidP="00A51969">
      <w:pPr>
        <w:spacing w:after="0" w:line="240" w:lineRule="auto"/>
        <w:rPr>
          <w:rFonts w:ascii="Arial" w:hAnsi="Arial" w:cs="Arial"/>
          <w:b/>
          <w:bCs/>
          <w:sz w:val="20"/>
          <w:szCs w:val="20"/>
          <w:lang w:val="en-US"/>
        </w:rPr>
      </w:pPr>
    </w:p>
    <w:p w14:paraId="05AF9C53" w14:textId="77777777" w:rsidR="008959E8" w:rsidRDefault="008959E8" w:rsidP="00A51969">
      <w:pPr>
        <w:spacing w:after="0" w:line="240" w:lineRule="auto"/>
        <w:rPr>
          <w:rFonts w:ascii="Arial" w:hAnsi="Arial" w:cs="Arial"/>
          <w:b/>
          <w:bCs/>
          <w:sz w:val="20"/>
          <w:szCs w:val="20"/>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701"/>
        <w:gridCol w:w="6339"/>
      </w:tblGrid>
      <w:tr w:rsidR="00A91B43" w:rsidRPr="00AE1338" w14:paraId="7B86A7ED" w14:textId="77777777" w:rsidTr="007C6E48">
        <w:trPr>
          <w:jc w:val="center"/>
        </w:trPr>
        <w:tc>
          <w:tcPr>
            <w:tcW w:w="0" w:type="auto"/>
            <w:gridSpan w:val="3"/>
            <w:vAlign w:val="center"/>
          </w:tcPr>
          <w:p w14:paraId="52893F63" w14:textId="77777777" w:rsidR="00A91B43" w:rsidRPr="00AE1338" w:rsidRDefault="00A91B43" w:rsidP="00A51969">
            <w:pPr>
              <w:spacing w:after="0" w:line="240" w:lineRule="auto"/>
              <w:jc w:val="right"/>
              <w:rPr>
                <w:rFonts w:ascii="Arial" w:hAnsi="Arial" w:cs="Arial"/>
                <w:b/>
                <w:bCs/>
                <w:sz w:val="20"/>
                <w:szCs w:val="20"/>
                <w:lang w:val="en-US"/>
              </w:rPr>
            </w:pPr>
            <w:r>
              <w:rPr>
                <w:rFonts w:ascii="Arial" w:hAnsi="Arial" w:cs="Arial"/>
                <w:b/>
                <w:bCs/>
                <w:sz w:val="20"/>
                <w:szCs w:val="20"/>
                <w:lang w:val="en-US"/>
              </w:rPr>
              <w:t>20</w:t>
            </w:r>
            <w:r w:rsidRPr="00AE1338">
              <w:rPr>
                <w:rFonts w:ascii="Arial" w:hAnsi="Arial" w:cs="Arial"/>
                <w:b/>
                <w:bCs/>
                <w:sz w:val="20"/>
                <w:szCs w:val="20"/>
                <w:vertAlign w:val="superscript"/>
                <w:lang w:val="en-US"/>
              </w:rPr>
              <w:t>th</w:t>
            </w:r>
            <w:r w:rsidRPr="00AE1338">
              <w:rPr>
                <w:rFonts w:ascii="Arial" w:hAnsi="Arial" w:cs="Arial"/>
                <w:b/>
                <w:bCs/>
                <w:sz w:val="20"/>
                <w:szCs w:val="20"/>
                <w:lang w:val="en-US"/>
              </w:rPr>
              <w:t xml:space="preserve"> August 2025</w:t>
            </w:r>
          </w:p>
          <w:p w14:paraId="7651A3F6" w14:textId="2BD38B3D" w:rsidR="00A91B43" w:rsidRPr="00AE1338" w:rsidRDefault="00971246" w:rsidP="00A51969">
            <w:pPr>
              <w:spacing w:after="0" w:line="240" w:lineRule="auto"/>
              <w:jc w:val="center"/>
              <w:rPr>
                <w:rFonts w:ascii="Arial" w:hAnsi="Arial" w:cs="Arial"/>
                <w:b/>
                <w:bCs/>
                <w:sz w:val="20"/>
                <w:szCs w:val="20"/>
                <w:lang w:val="en-US"/>
              </w:rPr>
            </w:pPr>
            <w:r>
              <w:rPr>
                <w:rFonts w:ascii="Arial" w:hAnsi="Arial" w:cs="Arial"/>
                <w:b/>
                <w:bCs/>
                <w:sz w:val="20"/>
                <w:szCs w:val="20"/>
                <w:lang w:val="en-US"/>
              </w:rPr>
              <w:t xml:space="preserve">Parallel Session </w:t>
            </w:r>
            <w:r w:rsidR="00A91B43">
              <w:rPr>
                <w:rFonts w:ascii="Arial" w:hAnsi="Arial" w:cs="Arial"/>
                <w:b/>
                <w:bCs/>
                <w:sz w:val="20"/>
                <w:szCs w:val="20"/>
                <w:lang w:val="en-US"/>
              </w:rPr>
              <w:t>H</w:t>
            </w:r>
          </w:p>
          <w:p w14:paraId="0D61DF50" w14:textId="7DFF7202" w:rsidR="00E21EAA" w:rsidRPr="00E21EAA" w:rsidRDefault="00A91B43" w:rsidP="00E21EAA">
            <w:pPr>
              <w:spacing w:after="0" w:line="240" w:lineRule="auto"/>
              <w:rPr>
                <w:rFonts w:ascii="Arial" w:hAnsi="Arial" w:cs="Arial"/>
                <w:b/>
                <w:bCs/>
                <w:sz w:val="20"/>
                <w:szCs w:val="20"/>
                <w:lang w:val="en-US"/>
              </w:rPr>
            </w:pPr>
            <w:r w:rsidRPr="00AE1338">
              <w:rPr>
                <w:rFonts w:ascii="Arial" w:hAnsi="Arial" w:cs="Arial"/>
                <w:b/>
                <w:bCs/>
                <w:sz w:val="20"/>
                <w:szCs w:val="20"/>
                <w:lang w:val="en-US"/>
              </w:rPr>
              <w:t>Session Chair</w:t>
            </w:r>
            <w:proofErr w:type="gramStart"/>
            <w:r w:rsidRPr="00AE1338">
              <w:rPr>
                <w:rFonts w:ascii="Arial" w:hAnsi="Arial" w:cs="Arial"/>
                <w:b/>
                <w:bCs/>
                <w:sz w:val="20"/>
                <w:szCs w:val="20"/>
                <w:lang w:val="en-US"/>
              </w:rPr>
              <w:t>:</w:t>
            </w:r>
            <w:r>
              <w:rPr>
                <w:rFonts w:ascii="Arial" w:hAnsi="Arial" w:cs="Arial"/>
                <w:b/>
                <w:bCs/>
                <w:sz w:val="20"/>
                <w:szCs w:val="20"/>
                <w:lang w:val="en-US"/>
              </w:rPr>
              <w:t xml:space="preserve"> </w:t>
            </w:r>
            <w:r w:rsidR="00E21EAA" w:rsidRPr="00E21EAA">
              <w:rPr>
                <w:rFonts w:ascii="Arial" w:hAnsi="Arial" w:cs="Arial"/>
                <w:b/>
                <w:bCs/>
                <w:sz w:val="20"/>
                <w:szCs w:val="20"/>
                <w:lang w:val="en-US"/>
              </w:rPr>
              <w:t xml:space="preserve"> Linda</w:t>
            </w:r>
            <w:proofErr w:type="gramEnd"/>
            <w:r w:rsidR="00E21EAA" w:rsidRPr="00E21EAA">
              <w:rPr>
                <w:rFonts w:ascii="Arial" w:hAnsi="Arial" w:cs="Arial"/>
                <w:b/>
                <w:bCs/>
                <w:sz w:val="20"/>
                <w:szCs w:val="20"/>
                <w:lang w:val="en-US"/>
              </w:rPr>
              <w:t xml:space="preserve"> Kusumaning Wedari., SE., MSi., PhD - Scopus ID: 57223913778</w:t>
            </w:r>
          </w:p>
          <w:p w14:paraId="27F19FA8" w14:textId="2503D311" w:rsidR="00A91B43" w:rsidRPr="00AE1338" w:rsidRDefault="00A91B43" w:rsidP="00A51969">
            <w:pPr>
              <w:spacing w:after="0" w:line="240" w:lineRule="auto"/>
              <w:rPr>
                <w:rFonts w:ascii="Arial" w:hAnsi="Arial" w:cs="Arial"/>
                <w:b/>
                <w:bCs/>
                <w:sz w:val="20"/>
                <w:szCs w:val="20"/>
                <w:lang w:val="en-US"/>
              </w:rPr>
            </w:pPr>
            <w:r>
              <w:rPr>
                <w:rFonts w:ascii="Arial" w:hAnsi="Arial" w:cs="Arial"/>
                <w:b/>
                <w:bCs/>
                <w:sz w:val="20"/>
                <w:szCs w:val="20"/>
                <w:lang w:val="en-US"/>
              </w:rPr>
              <w:t xml:space="preserve"> </w:t>
            </w:r>
          </w:p>
        </w:tc>
      </w:tr>
      <w:tr w:rsidR="004B65CC" w:rsidRPr="00AE1338" w14:paraId="7BA4065C" w14:textId="77777777" w:rsidTr="007C6E48">
        <w:trPr>
          <w:jc w:val="center"/>
        </w:trPr>
        <w:tc>
          <w:tcPr>
            <w:tcW w:w="1696" w:type="dxa"/>
            <w:vAlign w:val="center"/>
          </w:tcPr>
          <w:p w14:paraId="77E51C44" w14:textId="77777777" w:rsidR="004B65CC" w:rsidRPr="00AE1338" w:rsidRDefault="004B65CC" w:rsidP="00A51969">
            <w:pPr>
              <w:spacing w:after="0" w:line="240" w:lineRule="auto"/>
              <w:jc w:val="center"/>
              <w:rPr>
                <w:rFonts w:ascii="Arial" w:hAnsi="Arial" w:cs="Arial"/>
                <w:b/>
                <w:bCs/>
                <w:sz w:val="20"/>
                <w:szCs w:val="20"/>
                <w:lang w:val="en-US"/>
              </w:rPr>
            </w:pPr>
            <w:r>
              <w:rPr>
                <w:rFonts w:ascii="Arial" w:hAnsi="Arial" w:cs="Arial"/>
                <w:b/>
                <w:bCs/>
                <w:sz w:val="20"/>
                <w:szCs w:val="20"/>
                <w:lang w:val="en-US"/>
              </w:rPr>
              <w:t>Time (Istanbul Turkiye)</w:t>
            </w:r>
          </w:p>
        </w:tc>
        <w:tc>
          <w:tcPr>
            <w:tcW w:w="1701" w:type="dxa"/>
            <w:vAlign w:val="center"/>
          </w:tcPr>
          <w:p w14:paraId="2B7A4F92" w14:textId="6816C831" w:rsidR="004B65CC" w:rsidRPr="00AE1338" w:rsidRDefault="004B65CC" w:rsidP="00A51969">
            <w:pPr>
              <w:spacing w:after="0" w:line="240" w:lineRule="auto"/>
              <w:jc w:val="center"/>
              <w:rPr>
                <w:rFonts w:ascii="Arial" w:hAnsi="Arial" w:cs="Arial"/>
                <w:b/>
                <w:bCs/>
                <w:sz w:val="20"/>
                <w:szCs w:val="20"/>
                <w:lang w:val="en-US"/>
              </w:rPr>
            </w:pPr>
            <w:r w:rsidRPr="00E84230">
              <w:rPr>
                <w:rFonts w:ascii="Arial" w:hAnsi="Arial" w:cs="Arial"/>
                <w:b/>
                <w:bCs/>
                <w:sz w:val="20"/>
                <w:szCs w:val="20"/>
                <w:lang w:val="en-US"/>
              </w:rPr>
              <w:t xml:space="preserve">Paper </w:t>
            </w:r>
            <w:r>
              <w:rPr>
                <w:rFonts w:ascii="Arial" w:hAnsi="Arial" w:cs="Arial"/>
                <w:b/>
                <w:bCs/>
                <w:sz w:val="20"/>
                <w:szCs w:val="20"/>
                <w:lang w:val="en-US"/>
              </w:rPr>
              <w:t>ID</w:t>
            </w:r>
          </w:p>
        </w:tc>
        <w:tc>
          <w:tcPr>
            <w:tcW w:w="6339" w:type="dxa"/>
            <w:vAlign w:val="center"/>
          </w:tcPr>
          <w:p w14:paraId="0E4B590D" w14:textId="34BC5535" w:rsidR="004B65CC" w:rsidRPr="00AE1338" w:rsidRDefault="004B65CC" w:rsidP="00A51969">
            <w:pPr>
              <w:spacing w:after="0" w:line="240" w:lineRule="auto"/>
              <w:jc w:val="center"/>
              <w:rPr>
                <w:rFonts w:ascii="Arial" w:hAnsi="Arial" w:cs="Arial"/>
                <w:b/>
                <w:bCs/>
                <w:sz w:val="20"/>
                <w:szCs w:val="20"/>
                <w:lang w:val="en-US"/>
              </w:rPr>
            </w:pPr>
            <w:r w:rsidRPr="00E84230">
              <w:rPr>
                <w:rFonts w:ascii="Arial" w:hAnsi="Arial" w:cs="Arial"/>
                <w:b/>
                <w:bCs/>
                <w:sz w:val="20"/>
                <w:szCs w:val="20"/>
                <w:lang w:val="en-US"/>
              </w:rPr>
              <w:t>Paper</w:t>
            </w:r>
            <w:r>
              <w:rPr>
                <w:rFonts w:ascii="Arial" w:hAnsi="Arial" w:cs="Arial"/>
                <w:b/>
                <w:bCs/>
                <w:sz w:val="20"/>
                <w:szCs w:val="20"/>
                <w:lang w:val="en-US"/>
              </w:rPr>
              <w:t xml:space="preserve"> Title</w:t>
            </w:r>
          </w:p>
        </w:tc>
      </w:tr>
      <w:tr w:rsidR="004066FB" w:rsidRPr="00AE1338" w14:paraId="1D09AC35" w14:textId="77777777" w:rsidTr="00AD49DF">
        <w:trPr>
          <w:jc w:val="center"/>
        </w:trPr>
        <w:tc>
          <w:tcPr>
            <w:tcW w:w="1696" w:type="dxa"/>
            <w:vAlign w:val="center"/>
          </w:tcPr>
          <w:p w14:paraId="5E94F1EE" w14:textId="51816D3D" w:rsidR="004066FB"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09:00–09:20</w:t>
            </w:r>
          </w:p>
        </w:tc>
        <w:tc>
          <w:tcPr>
            <w:tcW w:w="1701" w:type="dxa"/>
            <w:vAlign w:val="center"/>
          </w:tcPr>
          <w:p w14:paraId="131210B4" w14:textId="70824197"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127</w:t>
            </w:r>
          </w:p>
        </w:tc>
        <w:tc>
          <w:tcPr>
            <w:tcW w:w="6339" w:type="dxa"/>
            <w:vAlign w:val="center"/>
          </w:tcPr>
          <w:p w14:paraId="371789AE" w14:textId="501B41CE"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Does Artificial Intelligence Adoption and Auditor Competency Matter for Audit Quality? Evidence from Indonesian Construction and Real Estate Sector</w:t>
            </w:r>
          </w:p>
        </w:tc>
      </w:tr>
      <w:tr w:rsidR="004066FB" w:rsidRPr="00AE1338" w14:paraId="37004788" w14:textId="77777777" w:rsidTr="00AD49DF">
        <w:trPr>
          <w:jc w:val="center"/>
        </w:trPr>
        <w:tc>
          <w:tcPr>
            <w:tcW w:w="1696" w:type="dxa"/>
            <w:vAlign w:val="center"/>
          </w:tcPr>
          <w:p w14:paraId="1720387C" w14:textId="169338A1"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09:20–09:40</w:t>
            </w:r>
          </w:p>
        </w:tc>
        <w:tc>
          <w:tcPr>
            <w:tcW w:w="1701" w:type="dxa"/>
            <w:vAlign w:val="center"/>
          </w:tcPr>
          <w:p w14:paraId="4A23AE9C" w14:textId="40B850BB"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129</w:t>
            </w:r>
          </w:p>
        </w:tc>
        <w:tc>
          <w:tcPr>
            <w:tcW w:w="6339" w:type="dxa"/>
            <w:vAlign w:val="center"/>
          </w:tcPr>
          <w:p w14:paraId="55EE6E0A" w14:textId="79FDE80D"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The Generative AI Paradox: Cognitive Load and Audit Fatigue in Fraud Risk Assessment</w:t>
            </w:r>
          </w:p>
        </w:tc>
      </w:tr>
      <w:tr w:rsidR="004066FB" w:rsidRPr="00AE1338" w14:paraId="6C95B25E" w14:textId="77777777" w:rsidTr="00AD49DF">
        <w:trPr>
          <w:jc w:val="center"/>
        </w:trPr>
        <w:tc>
          <w:tcPr>
            <w:tcW w:w="1696" w:type="dxa"/>
            <w:vAlign w:val="center"/>
          </w:tcPr>
          <w:p w14:paraId="20C4F457" w14:textId="22C79DE7"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09:40–10:00</w:t>
            </w:r>
          </w:p>
        </w:tc>
        <w:tc>
          <w:tcPr>
            <w:tcW w:w="1701" w:type="dxa"/>
            <w:vAlign w:val="center"/>
          </w:tcPr>
          <w:p w14:paraId="3EDE6F78" w14:textId="1CBC3DED"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134</w:t>
            </w:r>
          </w:p>
        </w:tc>
        <w:tc>
          <w:tcPr>
            <w:tcW w:w="6339" w:type="dxa"/>
            <w:vAlign w:val="center"/>
          </w:tcPr>
          <w:p w14:paraId="76671B78" w14:textId="7CA062AB"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Challenges and Successes in Digital Transformation: Organizational Readiness and Information Technology Capability in a Logistics Enterprise</w:t>
            </w:r>
          </w:p>
        </w:tc>
      </w:tr>
      <w:tr w:rsidR="004066FB" w:rsidRPr="00AE1338" w14:paraId="6B776B0B" w14:textId="77777777" w:rsidTr="00AD49DF">
        <w:trPr>
          <w:jc w:val="center"/>
        </w:trPr>
        <w:tc>
          <w:tcPr>
            <w:tcW w:w="1696" w:type="dxa"/>
            <w:vAlign w:val="center"/>
          </w:tcPr>
          <w:p w14:paraId="45E8B004" w14:textId="53AA92B4"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10:00–10:20</w:t>
            </w:r>
          </w:p>
        </w:tc>
        <w:tc>
          <w:tcPr>
            <w:tcW w:w="1701" w:type="dxa"/>
            <w:vAlign w:val="center"/>
          </w:tcPr>
          <w:p w14:paraId="0AB56AA4" w14:textId="2FF63574"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135</w:t>
            </w:r>
          </w:p>
        </w:tc>
        <w:tc>
          <w:tcPr>
            <w:tcW w:w="6339" w:type="dxa"/>
            <w:vAlign w:val="center"/>
          </w:tcPr>
          <w:p w14:paraId="6CC8B93E" w14:textId="136D7C3C"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Digital Transformation as a Pathway to Creative SME Performance</w:t>
            </w:r>
          </w:p>
        </w:tc>
      </w:tr>
      <w:tr w:rsidR="004066FB" w:rsidRPr="00AE1338" w14:paraId="01B1F3CE" w14:textId="77777777" w:rsidTr="00AD49DF">
        <w:trPr>
          <w:jc w:val="center"/>
        </w:trPr>
        <w:tc>
          <w:tcPr>
            <w:tcW w:w="1696" w:type="dxa"/>
            <w:vAlign w:val="center"/>
          </w:tcPr>
          <w:p w14:paraId="5F527802" w14:textId="72618664"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10:20–10:40</w:t>
            </w:r>
          </w:p>
        </w:tc>
        <w:tc>
          <w:tcPr>
            <w:tcW w:w="1701" w:type="dxa"/>
            <w:vAlign w:val="center"/>
          </w:tcPr>
          <w:p w14:paraId="79D2DE08" w14:textId="6A43BC25"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136</w:t>
            </w:r>
          </w:p>
        </w:tc>
        <w:tc>
          <w:tcPr>
            <w:tcW w:w="6339" w:type="dxa"/>
            <w:vAlign w:val="center"/>
          </w:tcPr>
          <w:p w14:paraId="299CDC08" w14:textId="4395DA0B"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The Helpless Master: Algorithmic Delegation and the Erosion of Moral Agency</w:t>
            </w:r>
          </w:p>
        </w:tc>
      </w:tr>
      <w:tr w:rsidR="004066FB" w:rsidRPr="00AE1338" w14:paraId="4B102DA6" w14:textId="77777777" w:rsidTr="00AD49DF">
        <w:trPr>
          <w:jc w:val="center"/>
        </w:trPr>
        <w:tc>
          <w:tcPr>
            <w:tcW w:w="1696" w:type="dxa"/>
            <w:vAlign w:val="center"/>
          </w:tcPr>
          <w:p w14:paraId="22E2D199" w14:textId="625C8A5C"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10:40–11:00</w:t>
            </w:r>
          </w:p>
        </w:tc>
        <w:tc>
          <w:tcPr>
            <w:tcW w:w="1701" w:type="dxa"/>
            <w:vAlign w:val="center"/>
          </w:tcPr>
          <w:p w14:paraId="728F910E" w14:textId="66DAA279"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137</w:t>
            </w:r>
          </w:p>
        </w:tc>
        <w:tc>
          <w:tcPr>
            <w:tcW w:w="6339" w:type="dxa"/>
            <w:vAlign w:val="center"/>
          </w:tcPr>
          <w:p w14:paraId="08BCB8F4" w14:textId="78824212"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 xml:space="preserve">Stock Market Reaction </w:t>
            </w:r>
            <w:proofErr w:type="gramStart"/>
            <w:r>
              <w:rPr>
                <w:rFonts w:ascii="Arial" w:hAnsi="Arial" w:cs="Arial"/>
                <w:color w:val="000000"/>
                <w:sz w:val="20"/>
                <w:szCs w:val="20"/>
              </w:rPr>
              <w:t>To</w:t>
            </w:r>
            <w:proofErr w:type="gramEnd"/>
            <w:r>
              <w:rPr>
                <w:rFonts w:ascii="Arial" w:hAnsi="Arial" w:cs="Arial"/>
                <w:color w:val="000000"/>
                <w:sz w:val="20"/>
                <w:szCs w:val="20"/>
              </w:rPr>
              <w:t xml:space="preserve"> Bank Indonesia Monetary Policy</w:t>
            </w:r>
          </w:p>
        </w:tc>
      </w:tr>
      <w:tr w:rsidR="004066FB" w:rsidRPr="00AE1338" w14:paraId="55903189" w14:textId="77777777" w:rsidTr="00AD49DF">
        <w:trPr>
          <w:jc w:val="center"/>
        </w:trPr>
        <w:tc>
          <w:tcPr>
            <w:tcW w:w="1696" w:type="dxa"/>
            <w:vAlign w:val="center"/>
          </w:tcPr>
          <w:p w14:paraId="46B41E4F" w14:textId="6F06D8E4"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11:00–11:20</w:t>
            </w:r>
          </w:p>
        </w:tc>
        <w:tc>
          <w:tcPr>
            <w:tcW w:w="1701" w:type="dxa"/>
            <w:vAlign w:val="center"/>
          </w:tcPr>
          <w:p w14:paraId="06FB90D9" w14:textId="1B1C6050"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140</w:t>
            </w:r>
          </w:p>
        </w:tc>
        <w:tc>
          <w:tcPr>
            <w:tcW w:w="6339" w:type="dxa"/>
            <w:vAlign w:val="center"/>
          </w:tcPr>
          <w:p w14:paraId="7BF087A1" w14:textId="2AA7AB37"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Human and Technological Determinants of Investment Instrument Selection: The Moderating Role of Financial Literacy</w:t>
            </w:r>
          </w:p>
        </w:tc>
      </w:tr>
      <w:tr w:rsidR="004066FB" w:rsidRPr="00AE1338" w14:paraId="6B8A202F" w14:textId="77777777" w:rsidTr="00AD49DF">
        <w:trPr>
          <w:jc w:val="center"/>
        </w:trPr>
        <w:tc>
          <w:tcPr>
            <w:tcW w:w="1696" w:type="dxa"/>
            <w:vAlign w:val="center"/>
          </w:tcPr>
          <w:p w14:paraId="17C92CF7" w14:textId="5BACAF9F"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11:20–11:40</w:t>
            </w:r>
          </w:p>
        </w:tc>
        <w:tc>
          <w:tcPr>
            <w:tcW w:w="1701" w:type="dxa"/>
            <w:vAlign w:val="center"/>
          </w:tcPr>
          <w:p w14:paraId="1BCEAB31" w14:textId="7D6021C3"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142</w:t>
            </w:r>
          </w:p>
        </w:tc>
        <w:tc>
          <w:tcPr>
            <w:tcW w:w="6339" w:type="dxa"/>
            <w:vAlign w:val="center"/>
          </w:tcPr>
          <w:p w14:paraId="628A37C3" w14:textId="6BFC2C4D"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Accounting for Digital Governance: The Roles of Open Government Data, ICT, Intellectual Capital, and Institutional Quality in Strengthening Control of Corruption—Evidence from ASEAN</w:t>
            </w:r>
          </w:p>
        </w:tc>
      </w:tr>
      <w:tr w:rsidR="004066FB" w:rsidRPr="00AE1338" w14:paraId="27C0B1C9" w14:textId="77777777" w:rsidTr="00AD49DF">
        <w:trPr>
          <w:jc w:val="center"/>
        </w:trPr>
        <w:tc>
          <w:tcPr>
            <w:tcW w:w="1696" w:type="dxa"/>
            <w:vAlign w:val="center"/>
          </w:tcPr>
          <w:p w14:paraId="2D019DF1" w14:textId="759BFB32"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11:40–12:00</w:t>
            </w:r>
          </w:p>
        </w:tc>
        <w:tc>
          <w:tcPr>
            <w:tcW w:w="1701" w:type="dxa"/>
            <w:vAlign w:val="center"/>
          </w:tcPr>
          <w:p w14:paraId="3214EB90" w14:textId="443C668E"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143</w:t>
            </w:r>
          </w:p>
        </w:tc>
        <w:tc>
          <w:tcPr>
            <w:tcW w:w="6339" w:type="dxa"/>
            <w:vAlign w:val="center"/>
          </w:tcPr>
          <w:p w14:paraId="679DB1F3" w14:textId="5C3734AB"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Analyzing the Effect of Technology Adoption and Firm Size on Indonesian Financial Companies Profitabilities</w:t>
            </w:r>
          </w:p>
        </w:tc>
      </w:tr>
      <w:tr w:rsidR="004066FB" w:rsidRPr="00AE1338" w14:paraId="5B9CA712" w14:textId="77777777" w:rsidTr="00AD49DF">
        <w:trPr>
          <w:jc w:val="center"/>
        </w:trPr>
        <w:tc>
          <w:tcPr>
            <w:tcW w:w="1696" w:type="dxa"/>
            <w:vAlign w:val="center"/>
          </w:tcPr>
          <w:p w14:paraId="26714530" w14:textId="3F9D9131"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w:t>
            </w:r>
            <w:r>
              <w:rPr>
                <w:rFonts w:ascii="Arial" w:hAnsi="Arial" w:cs="Arial"/>
                <w:b/>
                <w:bCs/>
                <w:color w:val="000000"/>
                <w:sz w:val="20"/>
                <w:szCs w:val="20"/>
              </w:rPr>
              <w:t>2</w:t>
            </w:r>
            <w:r w:rsidRPr="004066FB">
              <w:rPr>
                <w:rFonts w:ascii="Arial" w:hAnsi="Arial" w:cs="Arial"/>
                <w:b/>
                <w:bCs/>
                <w:color w:val="000000"/>
                <w:sz w:val="20"/>
                <w:szCs w:val="20"/>
              </w:rPr>
              <w:t>:00–1</w:t>
            </w:r>
            <w:r>
              <w:rPr>
                <w:rFonts w:ascii="Arial" w:hAnsi="Arial" w:cs="Arial"/>
                <w:b/>
                <w:bCs/>
                <w:color w:val="000000"/>
                <w:sz w:val="20"/>
                <w:szCs w:val="20"/>
              </w:rPr>
              <w:t>2</w:t>
            </w:r>
            <w:r w:rsidRPr="004066FB">
              <w:rPr>
                <w:rFonts w:ascii="Arial" w:hAnsi="Arial" w:cs="Arial"/>
                <w:b/>
                <w:bCs/>
                <w:color w:val="000000"/>
                <w:sz w:val="20"/>
                <w:szCs w:val="20"/>
              </w:rPr>
              <w:t>:20</w:t>
            </w:r>
          </w:p>
        </w:tc>
        <w:tc>
          <w:tcPr>
            <w:tcW w:w="1701" w:type="dxa"/>
            <w:vAlign w:val="center"/>
          </w:tcPr>
          <w:p w14:paraId="6277FBC2" w14:textId="4CEC7137"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144</w:t>
            </w:r>
          </w:p>
        </w:tc>
        <w:tc>
          <w:tcPr>
            <w:tcW w:w="6339" w:type="dxa"/>
            <w:vAlign w:val="center"/>
          </w:tcPr>
          <w:p w14:paraId="30021998" w14:textId="25C036CE"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Beyond Technology: Understanding Tax Digitalization Adoption</w:t>
            </w:r>
          </w:p>
        </w:tc>
      </w:tr>
      <w:tr w:rsidR="00264022" w:rsidRPr="00AE1338" w14:paraId="2C0BCE34" w14:textId="77777777" w:rsidTr="00AD49DF">
        <w:trPr>
          <w:jc w:val="center"/>
        </w:trPr>
        <w:tc>
          <w:tcPr>
            <w:tcW w:w="1696" w:type="dxa"/>
            <w:vAlign w:val="center"/>
          </w:tcPr>
          <w:p w14:paraId="66BA7612" w14:textId="126FB040" w:rsidR="00264022" w:rsidRPr="004066FB" w:rsidRDefault="00264022" w:rsidP="004066FB">
            <w:pPr>
              <w:spacing w:after="0" w:line="240" w:lineRule="auto"/>
              <w:jc w:val="center"/>
              <w:rPr>
                <w:rFonts w:ascii="Arial" w:hAnsi="Arial" w:cs="Arial"/>
                <w:b/>
                <w:bCs/>
                <w:color w:val="000000"/>
                <w:sz w:val="20"/>
                <w:szCs w:val="20"/>
              </w:rPr>
            </w:pPr>
            <w:r>
              <w:rPr>
                <w:rFonts w:ascii="Arial" w:hAnsi="Arial" w:cs="Arial"/>
                <w:b/>
                <w:bCs/>
                <w:color w:val="000000"/>
                <w:sz w:val="20"/>
                <w:szCs w:val="20"/>
              </w:rPr>
              <w:t>12:20-12:40</w:t>
            </w:r>
          </w:p>
        </w:tc>
        <w:tc>
          <w:tcPr>
            <w:tcW w:w="1701" w:type="dxa"/>
            <w:vAlign w:val="center"/>
          </w:tcPr>
          <w:p w14:paraId="1A50844E" w14:textId="00B9396B" w:rsidR="00264022" w:rsidRDefault="00264022" w:rsidP="004066FB">
            <w:pPr>
              <w:spacing w:after="0" w:line="240" w:lineRule="auto"/>
              <w:jc w:val="center"/>
              <w:rPr>
                <w:rFonts w:ascii="Arial" w:hAnsi="Arial" w:cs="Arial"/>
                <w:color w:val="000000"/>
                <w:sz w:val="20"/>
                <w:szCs w:val="20"/>
              </w:rPr>
            </w:pPr>
            <w:r>
              <w:rPr>
                <w:rFonts w:ascii="Arial" w:hAnsi="Arial" w:cs="Arial"/>
                <w:color w:val="000000"/>
                <w:sz w:val="20"/>
                <w:szCs w:val="20"/>
              </w:rPr>
              <w:t>53</w:t>
            </w:r>
          </w:p>
        </w:tc>
        <w:tc>
          <w:tcPr>
            <w:tcW w:w="6339" w:type="dxa"/>
            <w:vAlign w:val="center"/>
          </w:tcPr>
          <w:p w14:paraId="1DF0702A" w14:textId="6CEC8F9F" w:rsidR="00264022" w:rsidRDefault="00264022" w:rsidP="004066FB">
            <w:pPr>
              <w:spacing w:after="0" w:line="240" w:lineRule="auto"/>
              <w:jc w:val="center"/>
              <w:rPr>
                <w:rFonts w:ascii="Arial" w:hAnsi="Arial" w:cs="Arial"/>
                <w:color w:val="000000"/>
                <w:sz w:val="20"/>
                <w:szCs w:val="20"/>
              </w:rPr>
            </w:pPr>
            <w:r w:rsidRPr="00264022">
              <w:rPr>
                <w:rFonts w:ascii="Arial" w:hAnsi="Arial" w:cs="Arial"/>
                <w:color w:val="000000"/>
                <w:sz w:val="20"/>
                <w:szCs w:val="20"/>
              </w:rPr>
              <w:t>Continuance Usage Intention of E-Wallet Application</w:t>
            </w:r>
          </w:p>
        </w:tc>
      </w:tr>
    </w:tbl>
    <w:p w14:paraId="0F232684" w14:textId="77777777" w:rsidR="00A91B43" w:rsidRDefault="00A91B43" w:rsidP="00A51969">
      <w:pPr>
        <w:spacing w:after="0" w:line="240" w:lineRule="auto"/>
        <w:rPr>
          <w:rFonts w:ascii="Arial" w:hAnsi="Arial" w:cs="Arial"/>
          <w:b/>
          <w:bCs/>
          <w:sz w:val="20"/>
          <w:szCs w:val="20"/>
          <w:lang w:val="en-US"/>
        </w:rPr>
      </w:pPr>
    </w:p>
    <w:p w14:paraId="6EEB34A1" w14:textId="77777777" w:rsidR="00FB07B7" w:rsidRDefault="00FB07B7" w:rsidP="00A51969">
      <w:pPr>
        <w:spacing w:after="0" w:line="240" w:lineRule="auto"/>
        <w:rPr>
          <w:rFonts w:ascii="Arial" w:hAnsi="Arial" w:cs="Arial"/>
          <w:b/>
          <w:bCs/>
          <w:sz w:val="20"/>
          <w:szCs w:val="20"/>
          <w:lang w:val="en-US"/>
        </w:rPr>
      </w:pPr>
    </w:p>
    <w:p w14:paraId="00CD3EFD" w14:textId="77777777" w:rsidR="00FB07B7" w:rsidRDefault="00FB07B7" w:rsidP="00A51969">
      <w:pPr>
        <w:spacing w:after="0" w:line="240" w:lineRule="auto"/>
        <w:rPr>
          <w:rFonts w:ascii="Arial" w:hAnsi="Arial" w:cs="Arial"/>
          <w:b/>
          <w:bCs/>
          <w:sz w:val="20"/>
          <w:szCs w:val="20"/>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701"/>
        <w:gridCol w:w="6339"/>
      </w:tblGrid>
      <w:tr w:rsidR="00A91B43" w:rsidRPr="00AE1338" w14:paraId="26E962EB" w14:textId="77777777" w:rsidTr="007C6E48">
        <w:trPr>
          <w:jc w:val="center"/>
        </w:trPr>
        <w:tc>
          <w:tcPr>
            <w:tcW w:w="0" w:type="auto"/>
            <w:gridSpan w:val="3"/>
            <w:vAlign w:val="center"/>
          </w:tcPr>
          <w:p w14:paraId="40713F9A" w14:textId="77777777" w:rsidR="00A91B43" w:rsidRPr="00AE1338" w:rsidRDefault="00A91B43" w:rsidP="00A51969">
            <w:pPr>
              <w:spacing w:after="0" w:line="240" w:lineRule="auto"/>
              <w:jc w:val="right"/>
              <w:rPr>
                <w:rFonts w:ascii="Arial" w:hAnsi="Arial" w:cs="Arial"/>
                <w:b/>
                <w:bCs/>
                <w:sz w:val="20"/>
                <w:szCs w:val="20"/>
                <w:lang w:val="en-US"/>
              </w:rPr>
            </w:pPr>
            <w:r>
              <w:rPr>
                <w:rFonts w:ascii="Arial" w:hAnsi="Arial" w:cs="Arial"/>
                <w:b/>
                <w:bCs/>
                <w:sz w:val="20"/>
                <w:szCs w:val="20"/>
                <w:lang w:val="en-US"/>
              </w:rPr>
              <w:t>20</w:t>
            </w:r>
            <w:r w:rsidRPr="00AE1338">
              <w:rPr>
                <w:rFonts w:ascii="Arial" w:hAnsi="Arial" w:cs="Arial"/>
                <w:b/>
                <w:bCs/>
                <w:sz w:val="20"/>
                <w:szCs w:val="20"/>
                <w:vertAlign w:val="superscript"/>
                <w:lang w:val="en-US"/>
              </w:rPr>
              <w:t>th</w:t>
            </w:r>
            <w:r w:rsidRPr="00AE1338">
              <w:rPr>
                <w:rFonts w:ascii="Arial" w:hAnsi="Arial" w:cs="Arial"/>
                <w:b/>
                <w:bCs/>
                <w:sz w:val="20"/>
                <w:szCs w:val="20"/>
                <w:lang w:val="en-US"/>
              </w:rPr>
              <w:t xml:space="preserve"> August 2025</w:t>
            </w:r>
          </w:p>
          <w:p w14:paraId="53A1E0D1" w14:textId="7E813CAE" w:rsidR="00A91B43" w:rsidRPr="00AE1338" w:rsidRDefault="00971246" w:rsidP="00A51969">
            <w:pPr>
              <w:spacing w:after="0" w:line="240" w:lineRule="auto"/>
              <w:jc w:val="center"/>
              <w:rPr>
                <w:rFonts w:ascii="Arial" w:hAnsi="Arial" w:cs="Arial"/>
                <w:b/>
                <w:bCs/>
                <w:sz w:val="20"/>
                <w:szCs w:val="20"/>
                <w:lang w:val="en-US"/>
              </w:rPr>
            </w:pPr>
            <w:r>
              <w:rPr>
                <w:rFonts w:ascii="Arial" w:hAnsi="Arial" w:cs="Arial"/>
                <w:b/>
                <w:bCs/>
                <w:sz w:val="20"/>
                <w:szCs w:val="20"/>
                <w:lang w:val="en-US"/>
              </w:rPr>
              <w:t xml:space="preserve">Parallel Session </w:t>
            </w:r>
            <w:r w:rsidR="00A91B43">
              <w:rPr>
                <w:rFonts w:ascii="Arial" w:hAnsi="Arial" w:cs="Arial"/>
                <w:b/>
                <w:bCs/>
                <w:sz w:val="20"/>
                <w:szCs w:val="20"/>
                <w:lang w:val="en-US"/>
              </w:rPr>
              <w:t>I</w:t>
            </w:r>
          </w:p>
          <w:p w14:paraId="043AA505" w14:textId="6870C21F" w:rsidR="00A91B43" w:rsidRPr="00AE1338" w:rsidRDefault="00A91B43" w:rsidP="00A51969">
            <w:pPr>
              <w:spacing w:after="0" w:line="240" w:lineRule="auto"/>
              <w:rPr>
                <w:rFonts w:ascii="Arial" w:hAnsi="Arial" w:cs="Arial"/>
                <w:b/>
                <w:bCs/>
                <w:sz w:val="20"/>
                <w:szCs w:val="20"/>
                <w:lang w:val="en-US"/>
              </w:rPr>
            </w:pPr>
            <w:r w:rsidRPr="00AE1338">
              <w:rPr>
                <w:rFonts w:ascii="Arial" w:hAnsi="Arial" w:cs="Arial"/>
                <w:b/>
                <w:bCs/>
                <w:sz w:val="20"/>
                <w:szCs w:val="20"/>
                <w:lang w:val="en-US"/>
              </w:rPr>
              <w:lastRenderedPageBreak/>
              <w:t>Session Chair:</w:t>
            </w:r>
            <w:r>
              <w:rPr>
                <w:rFonts w:ascii="Arial" w:hAnsi="Arial" w:cs="Arial"/>
                <w:b/>
                <w:bCs/>
                <w:sz w:val="20"/>
                <w:szCs w:val="20"/>
                <w:lang w:val="en-US"/>
              </w:rPr>
              <w:t xml:space="preserve"> </w:t>
            </w:r>
            <w:r w:rsidR="00E21EAA" w:rsidRPr="00E21EAA">
              <w:rPr>
                <w:rFonts w:ascii="Arial" w:hAnsi="Arial" w:cs="Arial"/>
                <w:b/>
                <w:bCs/>
                <w:sz w:val="20"/>
                <w:szCs w:val="20"/>
                <w:lang w:val="en-US"/>
              </w:rPr>
              <w:t xml:space="preserve">Dr. Valentina Tohang., SE., </w:t>
            </w:r>
            <w:proofErr w:type="gramStart"/>
            <w:r w:rsidR="00E21EAA" w:rsidRPr="00E21EAA">
              <w:rPr>
                <w:rFonts w:ascii="Arial" w:hAnsi="Arial" w:cs="Arial"/>
                <w:b/>
                <w:bCs/>
                <w:sz w:val="20"/>
                <w:szCs w:val="20"/>
                <w:lang w:val="en-US"/>
              </w:rPr>
              <w:t>M.Bus</w:t>
            </w:r>
            <w:proofErr w:type="gramEnd"/>
            <w:r w:rsidR="00E21EAA" w:rsidRPr="00E21EAA">
              <w:rPr>
                <w:rFonts w:ascii="Arial" w:hAnsi="Arial" w:cs="Arial"/>
                <w:b/>
                <w:bCs/>
                <w:sz w:val="20"/>
                <w:szCs w:val="20"/>
                <w:lang w:val="en-US"/>
              </w:rPr>
              <w:t xml:space="preserve">(ERP)., </w:t>
            </w:r>
            <w:proofErr w:type="gramStart"/>
            <w:r w:rsidR="00E21EAA" w:rsidRPr="00E21EAA">
              <w:rPr>
                <w:rFonts w:ascii="Arial" w:hAnsi="Arial" w:cs="Arial"/>
                <w:b/>
                <w:bCs/>
                <w:sz w:val="20"/>
                <w:szCs w:val="20"/>
                <w:lang w:val="en-US"/>
              </w:rPr>
              <w:t>M.Bus</w:t>
            </w:r>
            <w:proofErr w:type="gramEnd"/>
            <w:r w:rsidR="00E21EAA" w:rsidRPr="00E21EAA">
              <w:rPr>
                <w:rFonts w:ascii="Arial" w:hAnsi="Arial" w:cs="Arial"/>
                <w:b/>
                <w:bCs/>
                <w:sz w:val="20"/>
                <w:szCs w:val="20"/>
                <w:lang w:val="en-US"/>
              </w:rPr>
              <w:t>(Acc) - Scopus ID: 56820137400</w:t>
            </w:r>
          </w:p>
          <w:p w14:paraId="58D9644A" w14:textId="77777777" w:rsidR="00A91B43" w:rsidRPr="00AE1338" w:rsidRDefault="00A91B43" w:rsidP="00A51969">
            <w:pPr>
              <w:spacing w:after="0" w:line="240" w:lineRule="auto"/>
              <w:rPr>
                <w:rFonts w:ascii="Arial" w:hAnsi="Arial" w:cs="Arial"/>
                <w:b/>
                <w:bCs/>
                <w:sz w:val="20"/>
                <w:szCs w:val="20"/>
                <w:lang w:val="en-US"/>
              </w:rPr>
            </w:pPr>
            <w:r w:rsidRPr="00AE1338">
              <w:rPr>
                <w:rFonts w:ascii="Arial" w:hAnsi="Arial" w:cs="Arial"/>
                <w:b/>
                <w:bCs/>
                <w:sz w:val="20"/>
                <w:szCs w:val="20"/>
                <w:lang w:val="en-US"/>
              </w:rPr>
              <w:t xml:space="preserve">Location: </w:t>
            </w:r>
            <w:r>
              <w:rPr>
                <w:rFonts w:ascii="Arial" w:hAnsi="Arial" w:cs="Arial"/>
                <w:b/>
                <w:bCs/>
                <w:sz w:val="20"/>
                <w:szCs w:val="20"/>
                <w:lang w:val="en-US"/>
              </w:rPr>
              <w:t xml:space="preserve">Online </w:t>
            </w:r>
          </w:p>
        </w:tc>
      </w:tr>
      <w:tr w:rsidR="004B65CC" w:rsidRPr="00AE1338" w14:paraId="7A3EE26F" w14:textId="77777777" w:rsidTr="007C6E48">
        <w:trPr>
          <w:jc w:val="center"/>
        </w:trPr>
        <w:tc>
          <w:tcPr>
            <w:tcW w:w="1696" w:type="dxa"/>
            <w:vAlign w:val="center"/>
          </w:tcPr>
          <w:p w14:paraId="6284AAC2" w14:textId="77777777" w:rsidR="004B65CC" w:rsidRPr="00AE1338" w:rsidRDefault="004B65CC" w:rsidP="00A51969">
            <w:pPr>
              <w:spacing w:after="0" w:line="240" w:lineRule="auto"/>
              <w:jc w:val="center"/>
              <w:rPr>
                <w:rFonts w:ascii="Arial" w:hAnsi="Arial" w:cs="Arial"/>
                <w:b/>
                <w:bCs/>
                <w:sz w:val="20"/>
                <w:szCs w:val="20"/>
                <w:lang w:val="en-US"/>
              </w:rPr>
            </w:pPr>
            <w:r>
              <w:rPr>
                <w:rFonts w:ascii="Arial" w:hAnsi="Arial" w:cs="Arial"/>
                <w:b/>
                <w:bCs/>
                <w:sz w:val="20"/>
                <w:szCs w:val="20"/>
                <w:lang w:val="en-US"/>
              </w:rPr>
              <w:lastRenderedPageBreak/>
              <w:t>Time (Istanbul Turkiye)</w:t>
            </w:r>
          </w:p>
        </w:tc>
        <w:tc>
          <w:tcPr>
            <w:tcW w:w="1701" w:type="dxa"/>
            <w:vAlign w:val="center"/>
          </w:tcPr>
          <w:p w14:paraId="1697C911" w14:textId="50538324" w:rsidR="004B65CC" w:rsidRPr="00AE1338" w:rsidRDefault="004B65CC" w:rsidP="00A51969">
            <w:pPr>
              <w:spacing w:after="0" w:line="240" w:lineRule="auto"/>
              <w:jc w:val="center"/>
              <w:rPr>
                <w:rFonts w:ascii="Arial" w:hAnsi="Arial" w:cs="Arial"/>
                <w:b/>
                <w:bCs/>
                <w:sz w:val="20"/>
                <w:szCs w:val="20"/>
                <w:lang w:val="en-US"/>
              </w:rPr>
            </w:pPr>
            <w:r w:rsidRPr="00E84230">
              <w:rPr>
                <w:rFonts w:ascii="Arial" w:hAnsi="Arial" w:cs="Arial"/>
                <w:b/>
                <w:bCs/>
                <w:sz w:val="20"/>
                <w:szCs w:val="20"/>
                <w:lang w:val="en-US"/>
              </w:rPr>
              <w:t xml:space="preserve">Paper </w:t>
            </w:r>
            <w:r>
              <w:rPr>
                <w:rFonts w:ascii="Arial" w:hAnsi="Arial" w:cs="Arial"/>
                <w:b/>
                <w:bCs/>
                <w:sz w:val="20"/>
                <w:szCs w:val="20"/>
                <w:lang w:val="en-US"/>
              </w:rPr>
              <w:t>ID</w:t>
            </w:r>
          </w:p>
        </w:tc>
        <w:tc>
          <w:tcPr>
            <w:tcW w:w="6339" w:type="dxa"/>
            <w:vAlign w:val="center"/>
          </w:tcPr>
          <w:p w14:paraId="58095CED" w14:textId="1C89C754" w:rsidR="004B65CC" w:rsidRPr="00AE1338" w:rsidRDefault="004B65CC" w:rsidP="00A51969">
            <w:pPr>
              <w:spacing w:after="0" w:line="240" w:lineRule="auto"/>
              <w:jc w:val="center"/>
              <w:rPr>
                <w:rFonts w:ascii="Arial" w:hAnsi="Arial" w:cs="Arial"/>
                <w:b/>
                <w:bCs/>
                <w:sz w:val="20"/>
                <w:szCs w:val="20"/>
                <w:lang w:val="en-US"/>
              </w:rPr>
            </w:pPr>
            <w:r w:rsidRPr="00E84230">
              <w:rPr>
                <w:rFonts w:ascii="Arial" w:hAnsi="Arial" w:cs="Arial"/>
                <w:b/>
                <w:bCs/>
                <w:sz w:val="20"/>
                <w:szCs w:val="20"/>
                <w:lang w:val="en-US"/>
              </w:rPr>
              <w:t>Paper</w:t>
            </w:r>
            <w:r>
              <w:rPr>
                <w:rFonts w:ascii="Arial" w:hAnsi="Arial" w:cs="Arial"/>
                <w:b/>
                <w:bCs/>
                <w:sz w:val="20"/>
                <w:szCs w:val="20"/>
                <w:lang w:val="en-US"/>
              </w:rPr>
              <w:t xml:space="preserve"> Title</w:t>
            </w:r>
          </w:p>
        </w:tc>
      </w:tr>
      <w:tr w:rsidR="004066FB" w:rsidRPr="00AE1338" w14:paraId="4C903F30" w14:textId="77777777" w:rsidTr="008118A9">
        <w:trPr>
          <w:jc w:val="center"/>
        </w:trPr>
        <w:tc>
          <w:tcPr>
            <w:tcW w:w="1696" w:type="dxa"/>
            <w:vAlign w:val="center"/>
          </w:tcPr>
          <w:p w14:paraId="5981C392" w14:textId="247EC778" w:rsidR="004066FB"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09:00–09:20</w:t>
            </w:r>
          </w:p>
        </w:tc>
        <w:tc>
          <w:tcPr>
            <w:tcW w:w="1701" w:type="dxa"/>
            <w:vAlign w:val="center"/>
          </w:tcPr>
          <w:p w14:paraId="62388CA2" w14:textId="33DF658B"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145</w:t>
            </w:r>
          </w:p>
        </w:tc>
        <w:tc>
          <w:tcPr>
            <w:tcW w:w="6339" w:type="dxa"/>
            <w:vAlign w:val="center"/>
          </w:tcPr>
          <w:p w14:paraId="2E77FF77" w14:textId="1C476568"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Future-Ready Accountants: What Drives AI Adoption Among Accounting Students?</w:t>
            </w:r>
          </w:p>
        </w:tc>
      </w:tr>
      <w:tr w:rsidR="004066FB" w:rsidRPr="00AE1338" w14:paraId="28188C68" w14:textId="77777777" w:rsidTr="008118A9">
        <w:trPr>
          <w:jc w:val="center"/>
        </w:trPr>
        <w:tc>
          <w:tcPr>
            <w:tcW w:w="1696" w:type="dxa"/>
            <w:vAlign w:val="center"/>
          </w:tcPr>
          <w:p w14:paraId="54D4EECD" w14:textId="3E2E247E"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09:20–09:40</w:t>
            </w:r>
          </w:p>
        </w:tc>
        <w:tc>
          <w:tcPr>
            <w:tcW w:w="1701" w:type="dxa"/>
            <w:vAlign w:val="center"/>
          </w:tcPr>
          <w:p w14:paraId="07DA0A90" w14:textId="7A0A0D6F"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149</w:t>
            </w:r>
          </w:p>
        </w:tc>
        <w:tc>
          <w:tcPr>
            <w:tcW w:w="6339" w:type="dxa"/>
            <w:vAlign w:val="center"/>
          </w:tcPr>
          <w:p w14:paraId="52D3F2DB" w14:textId="6EB2668A"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The Role of Artificial Intelligence in Enhancing Auditor Accountability in Public Accounting Firm in Indonesia</w:t>
            </w:r>
          </w:p>
        </w:tc>
      </w:tr>
      <w:tr w:rsidR="004066FB" w:rsidRPr="00AE1338" w14:paraId="14DD5CB2" w14:textId="77777777" w:rsidTr="008118A9">
        <w:trPr>
          <w:jc w:val="center"/>
        </w:trPr>
        <w:tc>
          <w:tcPr>
            <w:tcW w:w="1696" w:type="dxa"/>
            <w:vAlign w:val="center"/>
          </w:tcPr>
          <w:p w14:paraId="50CF4B3F" w14:textId="6BCB19BA"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09:40–10:00</w:t>
            </w:r>
          </w:p>
        </w:tc>
        <w:tc>
          <w:tcPr>
            <w:tcW w:w="1701" w:type="dxa"/>
            <w:vAlign w:val="center"/>
          </w:tcPr>
          <w:p w14:paraId="3B868515" w14:textId="4D14A8B4"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153</w:t>
            </w:r>
          </w:p>
        </w:tc>
        <w:tc>
          <w:tcPr>
            <w:tcW w:w="6339" w:type="dxa"/>
            <w:vAlign w:val="center"/>
          </w:tcPr>
          <w:p w14:paraId="32AC3E43" w14:textId="2C98E2E0"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An Analysis of Digital, Network, and Innovation Capability Practices in Culinary SMEs</w:t>
            </w:r>
          </w:p>
        </w:tc>
      </w:tr>
      <w:tr w:rsidR="004066FB" w:rsidRPr="00AE1338" w14:paraId="427911D5" w14:textId="77777777" w:rsidTr="008118A9">
        <w:trPr>
          <w:jc w:val="center"/>
        </w:trPr>
        <w:tc>
          <w:tcPr>
            <w:tcW w:w="1696" w:type="dxa"/>
            <w:vAlign w:val="center"/>
          </w:tcPr>
          <w:p w14:paraId="0B39CFAA" w14:textId="455C7DDA"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10:00–10:20</w:t>
            </w:r>
          </w:p>
        </w:tc>
        <w:tc>
          <w:tcPr>
            <w:tcW w:w="1701" w:type="dxa"/>
            <w:vAlign w:val="center"/>
          </w:tcPr>
          <w:p w14:paraId="43E06CAC" w14:textId="00446AEB"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158</w:t>
            </w:r>
          </w:p>
        </w:tc>
        <w:tc>
          <w:tcPr>
            <w:tcW w:w="6339" w:type="dxa"/>
            <w:vAlign w:val="center"/>
          </w:tcPr>
          <w:p w14:paraId="13B5DA01" w14:textId="5BC66E0B"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Enhancing Accounting Students' Career Readiness through Big Data Literacy: Evidence from Data- Driven Culture, Technological Infrastructure, Human Analytical Skills, and Data Governance</w:t>
            </w:r>
          </w:p>
        </w:tc>
      </w:tr>
      <w:tr w:rsidR="004066FB" w:rsidRPr="00AE1338" w14:paraId="398DC7BF" w14:textId="77777777" w:rsidTr="008118A9">
        <w:trPr>
          <w:jc w:val="center"/>
        </w:trPr>
        <w:tc>
          <w:tcPr>
            <w:tcW w:w="1696" w:type="dxa"/>
            <w:vAlign w:val="center"/>
          </w:tcPr>
          <w:p w14:paraId="39ADFE6F" w14:textId="3C81C959"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10:20–10:40</w:t>
            </w:r>
          </w:p>
        </w:tc>
        <w:tc>
          <w:tcPr>
            <w:tcW w:w="1701" w:type="dxa"/>
            <w:vAlign w:val="center"/>
          </w:tcPr>
          <w:p w14:paraId="6306AAEF" w14:textId="6678906F"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161</w:t>
            </w:r>
          </w:p>
        </w:tc>
        <w:tc>
          <w:tcPr>
            <w:tcW w:w="6339" w:type="dxa"/>
            <w:vAlign w:val="center"/>
          </w:tcPr>
          <w:p w14:paraId="11D87F06" w14:textId="3A49E4E4"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An Explainable Fuzzy Decision-Support Framework for FDM Process Parameter Selection Using Sensitivity Analysis and Genetic Inverse Design</w:t>
            </w:r>
          </w:p>
        </w:tc>
      </w:tr>
      <w:tr w:rsidR="004066FB" w:rsidRPr="00AE1338" w14:paraId="3EC55470" w14:textId="77777777" w:rsidTr="008118A9">
        <w:trPr>
          <w:jc w:val="center"/>
        </w:trPr>
        <w:tc>
          <w:tcPr>
            <w:tcW w:w="1696" w:type="dxa"/>
            <w:vAlign w:val="center"/>
          </w:tcPr>
          <w:p w14:paraId="796DAAC3" w14:textId="27D25D41"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w:t>
            </w:r>
            <w:r w:rsidR="004D5C6E">
              <w:rPr>
                <w:rFonts w:ascii="Arial" w:hAnsi="Arial" w:cs="Arial"/>
                <w:b/>
                <w:bCs/>
                <w:color w:val="000000"/>
                <w:sz w:val="20"/>
                <w:szCs w:val="20"/>
              </w:rPr>
              <w:t>0</w:t>
            </w:r>
            <w:r w:rsidRPr="004066FB">
              <w:rPr>
                <w:rFonts w:ascii="Arial" w:hAnsi="Arial" w:cs="Arial"/>
                <w:b/>
                <w:bCs/>
                <w:color w:val="000000"/>
                <w:sz w:val="20"/>
                <w:szCs w:val="20"/>
              </w:rPr>
              <w:t>:</w:t>
            </w:r>
            <w:r w:rsidR="004D5C6E">
              <w:rPr>
                <w:rFonts w:ascii="Arial" w:hAnsi="Arial" w:cs="Arial"/>
                <w:b/>
                <w:bCs/>
                <w:color w:val="000000"/>
                <w:sz w:val="20"/>
                <w:szCs w:val="20"/>
              </w:rPr>
              <w:t>4</w:t>
            </w:r>
            <w:r w:rsidRPr="004066FB">
              <w:rPr>
                <w:rFonts w:ascii="Arial" w:hAnsi="Arial" w:cs="Arial"/>
                <w:b/>
                <w:bCs/>
                <w:color w:val="000000"/>
                <w:sz w:val="20"/>
                <w:szCs w:val="20"/>
              </w:rPr>
              <w:t>0–11:</w:t>
            </w:r>
            <w:r w:rsidR="004D5C6E">
              <w:rPr>
                <w:rFonts w:ascii="Arial" w:hAnsi="Arial" w:cs="Arial"/>
                <w:b/>
                <w:bCs/>
                <w:color w:val="000000"/>
                <w:sz w:val="20"/>
                <w:szCs w:val="20"/>
              </w:rPr>
              <w:t>00</w:t>
            </w:r>
          </w:p>
        </w:tc>
        <w:tc>
          <w:tcPr>
            <w:tcW w:w="1701" w:type="dxa"/>
            <w:vAlign w:val="center"/>
          </w:tcPr>
          <w:p w14:paraId="7F3CEB61" w14:textId="201C6B56"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166</w:t>
            </w:r>
          </w:p>
        </w:tc>
        <w:tc>
          <w:tcPr>
            <w:tcW w:w="6339" w:type="dxa"/>
            <w:vAlign w:val="center"/>
          </w:tcPr>
          <w:p w14:paraId="5F1EE1B2" w14:textId="7D4E82C1"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Beyond Keyword Matching: An Empirical Investigation of Rubric Compliance Behaviour in AI-Powered Subjective Assessment</w:t>
            </w:r>
          </w:p>
        </w:tc>
      </w:tr>
      <w:tr w:rsidR="004066FB" w:rsidRPr="00AE1338" w14:paraId="60277368" w14:textId="77777777" w:rsidTr="008118A9">
        <w:trPr>
          <w:jc w:val="center"/>
        </w:trPr>
        <w:tc>
          <w:tcPr>
            <w:tcW w:w="1696" w:type="dxa"/>
            <w:vAlign w:val="center"/>
          </w:tcPr>
          <w:p w14:paraId="3345204F" w14:textId="3468D894"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11:</w:t>
            </w:r>
            <w:r w:rsidR="004D5C6E">
              <w:rPr>
                <w:rFonts w:ascii="Arial" w:hAnsi="Arial" w:cs="Arial"/>
                <w:b/>
                <w:bCs/>
                <w:color w:val="000000"/>
                <w:sz w:val="20"/>
                <w:szCs w:val="20"/>
              </w:rPr>
              <w:t>0</w:t>
            </w:r>
            <w:r w:rsidRPr="004066FB">
              <w:rPr>
                <w:rFonts w:ascii="Arial" w:hAnsi="Arial" w:cs="Arial"/>
                <w:b/>
                <w:bCs/>
                <w:color w:val="000000"/>
                <w:sz w:val="20"/>
                <w:szCs w:val="20"/>
              </w:rPr>
              <w:t>0–11:</w:t>
            </w:r>
            <w:r w:rsidR="004D5C6E">
              <w:rPr>
                <w:rFonts w:ascii="Arial" w:hAnsi="Arial" w:cs="Arial"/>
                <w:b/>
                <w:bCs/>
                <w:color w:val="000000"/>
                <w:sz w:val="20"/>
                <w:szCs w:val="20"/>
              </w:rPr>
              <w:t>2</w:t>
            </w:r>
            <w:r w:rsidRPr="004066FB">
              <w:rPr>
                <w:rFonts w:ascii="Arial" w:hAnsi="Arial" w:cs="Arial"/>
                <w:b/>
                <w:bCs/>
                <w:color w:val="000000"/>
                <w:sz w:val="20"/>
                <w:szCs w:val="20"/>
              </w:rPr>
              <w:t>0</w:t>
            </w:r>
          </w:p>
        </w:tc>
        <w:tc>
          <w:tcPr>
            <w:tcW w:w="1701" w:type="dxa"/>
            <w:vAlign w:val="center"/>
          </w:tcPr>
          <w:p w14:paraId="7DF54572" w14:textId="47FB0F03"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168</w:t>
            </w:r>
          </w:p>
        </w:tc>
        <w:tc>
          <w:tcPr>
            <w:tcW w:w="6339" w:type="dxa"/>
            <w:vAlign w:val="center"/>
          </w:tcPr>
          <w:p w14:paraId="457622F2" w14:textId="057BCB52"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Does Lower Carbon Emission Intensity Reflect Better ESG Performance? Evidence from Manufacturing Firms in Emerging ASEAN Economies</w:t>
            </w:r>
          </w:p>
        </w:tc>
      </w:tr>
      <w:tr w:rsidR="004066FB" w:rsidRPr="00AE1338" w14:paraId="71EAEEDC" w14:textId="77777777" w:rsidTr="008118A9">
        <w:trPr>
          <w:jc w:val="center"/>
        </w:trPr>
        <w:tc>
          <w:tcPr>
            <w:tcW w:w="1696" w:type="dxa"/>
            <w:vAlign w:val="center"/>
          </w:tcPr>
          <w:p w14:paraId="64834049" w14:textId="457A4F58"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11:</w:t>
            </w:r>
            <w:r w:rsidR="004D5C6E">
              <w:rPr>
                <w:rFonts w:ascii="Arial" w:hAnsi="Arial" w:cs="Arial"/>
                <w:b/>
                <w:bCs/>
                <w:color w:val="000000"/>
                <w:sz w:val="20"/>
                <w:szCs w:val="20"/>
              </w:rPr>
              <w:t>2</w:t>
            </w:r>
            <w:r w:rsidRPr="004066FB">
              <w:rPr>
                <w:rFonts w:ascii="Arial" w:hAnsi="Arial" w:cs="Arial"/>
                <w:b/>
                <w:bCs/>
                <w:color w:val="000000"/>
                <w:sz w:val="20"/>
                <w:szCs w:val="20"/>
              </w:rPr>
              <w:t>0–1</w:t>
            </w:r>
            <w:r w:rsidR="004D5C6E">
              <w:rPr>
                <w:rFonts w:ascii="Arial" w:hAnsi="Arial" w:cs="Arial"/>
                <w:b/>
                <w:bCs/>
                <w:color w:val="000000"/>
                <w:sz w:val="20"/>
                <w:szCs w:val="20"/>
              </w:rPr>
              <w:t>1</w:t>
            </w:r>
            <w:r w:rsidRPr="004066FB">
              <w:rPr>
                <w:rFonts w:ascii="Arial" w:hAnsi="Arial" w:cs="Arial"/>
                <w:b/>
                <w:bCs/>
                <w:color w:val="000000"/>
                <w:sz w:val="20"/>
                <w:szCs w:val="20"/>
              </w:rPr>
              <w:t>:</w:t>
            </w:r>
            <w:r w:rsidR="004D5C6E">
              <w:rPr>
                <w:rFonts w:ascii="Arial" w:hAnsi="Arial" w:cs="Arial"/>
                <w:b/>
                <w:bCs/>
                <w:color w:val="000000"/>
                <w:sz w:val="20"/>
                <w:szCs w:val="20"/>
              </w:rPr>
              <w:t>4</w:t>
            </w:r>
            <w:r w:rsidRPr="004066FB">
              <w:rPr>
                <w:rFonts w:ascii="Arial" w:hAnsi="Arial" w:cs="Arial"/>
                <w:b/>
                <w:bCs/>
                <w:color w:val="000000"/>
                <w:sz w:val="20"/>
                <w:szCs w:val="20"/>
              </w:rPr>
              <w:t>0</w:t>
            </w:r>
          </w:p>
        </w:tc>
        <w:tc>
          <w:tcPr>
            <w:tcW w:w="1701" w:type="dxa"/>
            <w:vAlign w:val="center"/>
          </w:tcPr>
          <w:p w14:paraId="1A4612C1" w14:textId="7933CB79"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169</w:t>
            </w:r>
          </w:p>
        </w:tc>
        <w:tc>
          <w:tcPr>
            <w:tcW w:w="6339" w:type="dxa"/>
            <w:vAlign w:val="center"/>
          </w:tcPr>
          <w:p w14:paraId="0D4A2E9D" w14:textId="5311D41F"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Diagnosing Structural and Within-Segment Anomalies in Derived Metrics of Digital Storefronts</w:t>
            </w:r>
          </w:p>
        </w:tc>
      </w:tr>
      <w:tr w:rsidR="004066FB" w:rsidRPr="00AE1338" w14:paraId="2FF4DC88" w14:textId="77777777" w:rsidTr="008118A9">
        <w:trPr>
          <w:jc w:val="center"/>
        </w:trPr>
        <w:tc>
          <w:tcPr>
            <w:tcW w:w="1696" w:type="dxa"/>
            <w:vAlign w:val="center"/>
          </w:tcPr>
          <w:p w14:paraId="5CDA661B" w14:textId="37A8530D"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w:t>
            </w:r>
            <w:r w:rsidR="00FB07B7">
              <w:rPr>
                <w:rFonts w:ascii="Arial" w:hAnsi="Arial" w:cs="Arial"/>
                <w:b/>
                <w:bCs/>
                <w:color w:val="000000"/>
                <w:sz w:val="20"/>
                <w:szCs w:val="20"/>
              </w:rPr>
              <w:t>1</w:t>
            </w:r>
            <w:r w:rsidRPr="004066FB">
              <w:rPr>
                <w:rFonts w:ascii="Arial" w:hAnsi="Arial" w:cs="Arial"/>
                <w:b/>
                <w:bCs/>
                <w:color w:val="000000"/>
                <w:sz w:val="20"/>
                <w:szCs w:val="20"/>
              </w:rPr>
              <w:t>:</w:t>
            </w:r>
            <w:r w:rsidR="004D5C6E">
              <w:rPr>
                <w:rFonts w:ascii="Arial" w:hAnsi="Arial" w:cs="Arial"/>
                <w:b/>
                <w:bCs/>
                <w:color w:val="000000"/>
                <w:sz w:val="20"/>
                <w:szCs w:val="20"/>
              </w:rPr>
              <w:t>4</w:t>
            </w:r>
            <w:r w:rsidRPr="004066FB">
              <w:rPr>
                <w:rFonts w:ascii="Arial" w:hAnsi="Arial" w:cs="Arial"/>
                <w:b/>
                <w:bCs/>
                <w:color w:val="000000"/>
                <w:sz w:val="20"/>
                <w:szCs w:val="20"/>
              </w:rPr>
              <w:t>0–1</w:t>
            </w:r>
            <w:r>
              <w:rPr>
                <w:rFonts w:ascii="Arial" w:hAnsi="Arial" w:cs="Arial"/>
                <w:b/>
                <w:bCs/>
                <w:color w:val="000000"/>
                <w:sz w:val="20"/>
                <w:szCs w:val="20"/>
              </w:rPr>
              <w:t>2</w:t>
            </w:r>
            <w:r w:rsidRPr="004066FB">
              <w:rPr>
                <w:rFonts w:ascii="Arial" w:hAnsi="Arial" w:cs="Arial"/>
                <w:b/>
                <w:bCs/>
                <w:color w:val="000000"/>
                <w:sz w:val="20"/>
                <w:szCs w:val="20"/>
              </w:rPr>
              <w:t>:</w:t>
            </w:r>
            <w:r w:rsidR="00FB07B7">
              <w:rPr>
                <w:rFonts w:ascii="Arial" w:hAnsi="Arial" w:cs="Arial"/>
                <w:b/>
                <w:bCs/>
                <w:color w:val="000000"/>
                <w:sz w:val="20"/>
                <w:szCs w:val="20"/>
              </w:rPr>
              <w:t>0</w:t>
            </w:r>
            <w:r w:rsidRPr="004066FB">
              <w:rPr>
                <w:rFonts w:ascii="Arial" w:hAnsi="Arial" w:cs="Arial"/>
                <w:b/>
                <w:bCs/>
                <w:color w:val="000000"/>
                <w:sz w:val="20"/>
                <w:szCs w:val="20"/>
              </w:rPr>
              <w:t>0</w:t>
            </w:r>
          </w:p>
        </w:tc>
        <w:tc>
          <w:tcPr>
            <w:tcW w:w="1701" w:type="dxa"/>
            <w:vAlign w:val="center"/>
          </w:tcPr>
          <w:p w14:paraId="418C0123" w14:textId="6E038A24"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173</w:t>
            </w:r>
          </w:p>
        </w:tc>
        <w:tc>
          <w:tcPr>
            <w:tcW w:w="6339" w:type="dxa"/>
            <w:vAlign w:val="center"/>
          </w:tcPr>
          <w:p w14:paraId="331461B3" w14:textId="18D781F7"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Tiny U-Net with Rotational Transform and Attention Gate for Retinal Vessel Segmentation</w:t>
            </w:r>
          </w:p>
        </w:tc>
      </w:tr>
      <w:tr w:rsidR="00D97838" w:rsidRPr="00AE1338" w14:paraId="7FBC86DC" w14:textId="77777777" w:rsidTr="008118A9">
        <w:trPr>
          <w:jc w:val="center"/>
        </w:trPr>
        <w:tc>
          <w:tcPr>
            <w:tcW w:w="1696" w:type="dxa"/>
            <w:vAlign w:val="center"/>
          </w:tcPr>
          <w:p w14:paraId="060E0175" w14:textId="1934E96C" w:rsidR="00D97838" w:rsidRPr="004066FB" w:rsidRDefault="00D97838" w:rsidP="004066FB">
            <w:pPr>
              <w:spacing w:after="0" w:line="240" w:lineRule="auto"/>
              <w:jc w:val="center"/>
              <w:rPr>
                <w:rFonts w:ascii="Arial" w:hAnsi="Arial" w:cs="Arial"/>
                <w:b/>
                <w:bCs/>
                <w:color w:val="000000"/>
                <w:sz w:val="20"/>
                <w:szCs w:val="20"/>
              </w:rPr>
            </w:pPr>
            <w:r>
              <w:rPr>
                <w:rFonts w:ascii="Arial" w:hAnsi="Arial" w:cs="Arial"/>
                <w:b/>
                <w:bCs/>
                <w:color w:val="000000"/>
                <w:sz w:val="20"/>
                <w:szCs w:val="20"/>
              </w:rPr>
              <w:t>12:00-12.20</w:t>
            </w:r>
          </w:p>
        </w:tc>
        <w:tc>
          <w:tcPr>
            <w:tcW w:w="1701" w:type="dxa"/>
            <w:vAlign w:val="center"/>
          </w:tcPr>
          <w:p w14:paraId="625AA81D" w14:textId="233DBE96" w:rsidR="00D97838" w:rsidRDefault="00D97838" w:rsidP="004066FB">
            <w:pPr>
              <w:spacing w:after="0" w:line="240" w:lineRule="auto"/>
              <w:jc w:val="center"/>
              <w:rPr>
                <w:rFonts w:ascii="Arial" w:hAnsi="Arial" w:cs="Arial"/>
                <w:color w:val="000000"/>
                <w:sz w:val="20"/>
                <w:szCs w:val="20"/>
              </w:rPr>
            </w:pPr>
            <w:r>
              <w:rPr>
                <w:rFonts w:ascii="Arial" w:hAnsi="Arial" w:cs="Arial"/>
                <w:color w:val="000000"/>
                <w:sz w:val="20"/>
                <w:szCs w:val="20"/>
              </w:rPr>
              <w:t>128</w:t>
            </w:r>
          </w:p>
        </w:tc>
        <w:tc>
          <w:tcPr>
            <w:tcW w:w="6339" w:type="dxa"/>
            <w:vAlign w:val="center"/>
          </w:tcPr>
          <w:p w14:paraId="4AF04CBB" w14:textId="573E6ADC" w:rsidR="00D97838" w:rsidRDefault="00D97838" w:rsidP="004066FB">
            <w:pPr>
              <w:spacing w:after="0" w:line="240" w:lineRule="auto"/>
              <w:jc w:val="center"/>
              <w:rPr>
                <w:rFonts w:ascii="Arial" w:hAnsi="Arial" w:cs="Arial"/>
                <w:color w:val="000000"/>
                <w:sz w:val="20"/>
                <w:szCs w:val="20"/>
              </w:rPr>
            </w:pPr>
            <w:r w:rsidRPr="00D97838">
              <w:rPr>
                <w:rFonts w:ascii="Arial" w:hAnsi="Arial" w:cs="Arial"/>
                <w:color w:val="000000"/>
                <w:sz w:val="20"/>
                <w:szCs w:val="20"/>
              </w:rPr>
              <w:t>Accounting System Digitalization and Corporate Governance as Determinants of Notes to Financial Statements Disclosure Quality</w:t>
            </w:r>
          </w:p>
        </w:tc>
      </w:tr>
    </w:tbl>
    <w:p w14:paraId="4708AE1C" w14:textId="77777777" w:rsidR="002A356F" w:rsidRDefault="002A356F" w:rsidP="00A51969">
      <w:pPr>
        <w:spacing w:after="0" w:line="240" w:lineRule="auto"/>
        <w:rPr>
          <w:rFonts w:ascii="Arial" w:hAnsi="Arial" w:cs="Arial"/>
          <w:b/>
          <w:bCs/>
          <w:sz w:val="20"/>
          <w:szCs w:val="20"/>
          <w:lang w:val="en-US"/>
        </w:rPr>
      </w:pPr>
    </w:p>
    <w:p w14:paraId="0582E0C6" w14:textId="77777777" w:rsidR="00FB07B7" w:rsidRDefault="00FB07B7" w:rsidP="00A51969">
      <w:pPr>
        <w:spacing w:after="0" w:line="240" w:lineRule="auto"/>
        <w:rPr>
          <w:rFonts w:ascii="Arial" w:hAnsi="Arial" w:cs="Arial"/>
          <w:b/>
          <w:bCs/>
          <w:sz w:val="20"/>
          <w:szCs w:val="20"/>
          <w:lang w:val="en-US"/>
        </w:rPr>
      </w:pPr>
    </w:p>
    <w:p w14:paraId="592C8E63" w14:textId="77777777" w:rsidR="00FB07B7" w:rsidRDefault="00FB07B7" w:rsidP="00A51969">
      <w:pPr>
        <w:spacing w:after="0" w:line="240" w:lineRule="auto"/>
        <w:rPr>
          <w:rFonts w:ascii="Arial" w:hAnsi="Arial" w:cs="Arial"/>
          <w:b/>
          <w:bCs/>
          <w:sz w:val="20"/>
          <w:szCs w:val="20"/>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701"/>
        <w:gridCol w:w="6339"/>
      </w:tblGrid>
      <w:tr w:rsidR="00A91B43" w:rsidRPr="00AE1338" w14:paraId="7C6700D1" w14:textId="77777777" w:rsidTr="007C6E48">
        <w:trPr>
          <w:jc w:val="center"/>
        </w:trPr>
        <w:tc>
          <w:tcPr>
            <w:tcW w:w="0" w:type="auto"/>
            <w:gridSpan w:val="3"/>
            <w:vAlign w:val="center"/>
          </w:tcPr>
          <w:p w14:paraId="1AA0FA42" w14:textId="77777777" w:rsidR="00A91B43" w:rsidRPr="00AE1338" w:rsidRDefault="00A91B43" w:rsidP="00A51969">
            <w:pPr>
              <w:spacing w:after="0" w:line="240" w:lineRule="auto"/>
              <w:jc w:val="right"/>
              <w:rPr>
                <w:rFonts w:ascii="Arial" w:hAnsi="Arial" w:cs="Arial"/>
                <w:b/>
                <w:bCs/>
                <w:sz w:val="20"/>
                <w:szCs w:val="20"/>
                <w:lang w:val="en-US"/>
              </w:rPr>
            </w:pPr>
            <w:r>
              <w:rPr>
                <w:rFonts w:ascii="Arial" w:hAnsi="Arial" w:cs="Arial"/>
                <w:b/>
                <w:bCs/>
                <w:sz w:val="20"/>
                <w:szCs w:val="20"/>
                <w:lang w:val="en-US"/>
              </w:rPr>
              <w:t>20</w:t>
            </w:r>
            <w:r w:rsidRPr="00AE1338">
              <w:rPr>
                <w:rFonts w:ascii="Arial" w:hAnsi="Arial" w:cs="Arial"/>
                <w:b/>
                <w:bCs/>
                <w:sz w:val="20"/>
                <w:szCs w:val="20"/>
                <w:vertAlign w:val="superscript"/>
                <w:lang w:val="en-US"/>
              </w:rPr>
              <w:t>th</w:t>
            </w:r>
            <w:r w:rsidRPr="00AE1338">
              <w:rPr>
                <w:rFonts w:ascii="Arial" w:hAnsi="Arial" w:cs="Arial"/>
                <w:b/>
                <w:bCs/>
                <w:sz w:val="20"/>
                <w:szCs w:val="20"/>
                <w:lang w:val="en-US"/>
              </w:rPr>
              <w:t xml:space="preserve"> August 2025</w:t>
            </w:r>
          </w:p>
          <w:p w14:paraId="2CAD834E" w14:textId="47492738" w:rsidR="00A91B43" w:rsidRPr="00AE1338" w:rsidRDefault="00971246" w:rsidP="00A51969">
            <w:pPr>
              <w:spacing w:after="0" w:line="240" w:lineRule="auto"/>
              <w:jc w:val="center"/>
              <w:rPr>
                <w:rFonts w:ascii="Arial" w:hAnsi="Arial" w:cs="Arial"/>
                <w:b/>
                <w:bCs/>
                <w:sz w:val="20"/>
                <w:szCs w:val="20"/>
                <w:lang w:val="en-US"/>
              </w:rPr>
            </w:pPr>
            <w:r>
              <w:rPr>
                <w:rFonts w:ascii="Arial" w:hAnsi="Arial" w:cs="Arial"/>
                <w:b/>
                <w:bCs/>
                <w:sz w:val="20"/>
                <w:szCs w:val="20"/>
                <w:lang w:val="en-US"/>
              </w:rPr>
              <w:t xml:space="preserve">Parallel Session </w:t>
            </w:r>
            <w:r w:rsidR="00A91B43">
              <w:rPr>
                <w:rFonts w:ascii="Arial" w:hAnsi="Arial" w:cs="Arial"/>
                <w:b/>
                <w:bCs/>
                <w:sz w:val="20"/>
                <w:szCs w:val="20"/>
                <w:lang w:val="en-US"/>
              </w:rPr>
              <w:t>J</w:t>
            </w:r>
          </w:p>
          <w:p w14:paraId="17930C33" w14:textId="22378ED2" w:rsidR="00A91B43" w:rsidRPr="00AE1338" w:rsidRDefault="00A91B43" w:rsidP="00A51969">
            <w:pPr>
              <w:spacing w:after="0" w:line="240" w:lineRule="auto"/>
              <w:rPr>
                <w:rFonts w:ascii="Arial" w:hAnsi="Arial" w:cs="Arial"/>
                <w:b/>
                <w:bCs/>
                <w:sz w:val="20"/>
                <w:szCs w:val="20"/>
                <w:lang w:val="en-US"/>
              </w:rPr>
            </w:pPr>
            <w:r w:rsidRPr="00AE1338">
              <w:rPr>
                <w:rFonts w:ascii="Arial" w:hAnsi="Arial" w:cs="Arial"/>
                <w:b/>
                <w:bCs/>
                <w:sz w:val="20"/>
                <w:szCs w:val="20"/>
                <w:lang w:val="en-US"/>
              </w:rPr>
              <w:t>Session Chair:</w:t>
            </w:r>
            <w:r>
              <w:rPr>
                <w:rFonts w:ascii="Arial" w:hAnsi="Arial" w:cs="Arial"/>
                <w:b/>
                <w:bCs/>
                <w:sz w:val="20"/>
                <w:szCs w:val="20"/>
                <w:lang w:val="en-US"/>
              </w:rPr>
              <w:t xml:space="preserve"> </w:t>
            </w:r>
            <w:r w:rsidR="00E21EAA" w:rsidRPr="00E21EAA">
              <w:rPr>
                <w:rFonts w:ascii="Arial" w:hAnsi="Arial" w:cs="Arial"/>
                <w:b/>
                <w:bCs/>
                <w:sz w:val="20"/>
                <w:szCs w:val="20"/>
                <w:lang w:val="en-US"/>
              </w:rPr>
              <w:t>Fitriya., SE., MBA., PhD - Scopus ID: 55636223700</w:t>
            </w:r>
          </w:p>
          <w:p w14:paraId="7F47B13A" w14:textId="77777777" w:rsidR="00A91B43" w:rsidRPr="00AE1338" w:rsidRDefault="00A91B43" w:rsidP="00A51969">
            <w:pPr>
              <w:spacing w:after="0" w:line="240" w:lineRule="auto"/>
              <w:rPr>
                <w:rFonts w:ascii="Arial" w:hAnsi="Arial" w:cs="Arial"/>
                <w:b/>
                <w:bCs/>
                <w:sz w:val="20"/>
                <w:szCs w:val="20"/>
                <w:lang w:val="en-US"/>
              </w:rPr>
            </w:pPr>
            <w:r w:rsidRPr="00AE1338">
              <w:rPr>
                <w:rFonts w:ascii="Arial" w:hAnsi="Arial" w:cs="Arial"/>
                <w:b/>
                <w:bCs/>
                <w:sz w:val="20"/>
                <w:szCs w:val="20"/>
                <w:lang w:val="en-US"/>
              </w:rPr>
              <w:t xml:space="preserve">Location: </w:t>
            </w:r>
            <w:r>
              <w:rPr>
                <w:rFonts w:ascii="Arial" w:hAnsi="Arial" w:cs="Arial"/>
                <w:b/>
                <w:bCs/>
                <w:sz w:val="20"/>
                <w:szCs w:val="20"/>
                <w:lang w:val="en-US"/>
              </w:rPr>
              <w:t xml:space="preserve">Online </w:t>
            </w:r>
          </w:p>
        </w:tc>
      </w:tr>
      <w:tr w:rsidR="004B65CC" w:rsidRPr="00AE1338" w14:paraId="6F67647C" w14:textId="77777777" w:rsidTr="007C6E48">
        <w:trPr>
          <w:jc w:val="center"/>
        </w:trPr>
        <w:tc>
          <w:tcPr>
            <w:tcW w:w="1696" w:type="dxa"/>
            <w:vAlign w:val="center"/>
          </w:tcPr>
          <w:p w14:paraId="169750C8" w14:textId="77777777" w:rsidR="004B65CC" w:rsidRPr="00AE1338" w:rsidRDefault="004B65CC" w:rsidP="00A51969">
            <w:pPr>
              <w:spacing w:after="0" w:line="240" w:lineRule="auto"/>
              <w:jc w:val="center"/>
              <w:rPr>
                <w:rFonts w:ascii="Arial" w:hAnsi="Arial" w:cs="Arial"/>
                <w:b/>
                <w:bCs/>
                <w:sz w:val="20"/>
                <w:szCs w:val="20"/>
                <w:lang w:val="en-US"/>
              </w:rPr>
            </w:pPr>
            <w:r>
              <w:rPr>
                <w:rFonts w:ascii="Arial" w:hAnsi="Arial" w:cs="Arial"/>
                <w:b/>
                <w:bCs/>
                <w:sz w:val="20"/>
                <w:szCs w:val="20"/>
                <w:lang w:val="en-US"/>
              </w:rPr>
              <w:t>Time (Istanbul Turkiye)</w:t>
            </w:r>
          </w:p>
        </w:tc>
        <w:tc>
          <w:tcPr>
            <w:tcW w:w="1701" w:type="dxa"/>
            <w:vAlign w:val="center"/>
          </w:tcPr>
          <w:p w14:paraId="4602D010" w14:textId="09E5BAD1" w:rsidR="004B65CC" w:rsidRPr="00AE1338" w:rsidRDefault="004B65CC" w:rsidP="00A51969">
            <w:pPr>
              <w:spacing w:after="0" w:line="240" w:lineRule="auto"/>
              <w:jc w:val="center"/>
              <w:rPr>
                <w:rFonts w:ascii="Arial" w:hAnsi="Arial" w:cs="Arial"/>
                <w:b/>
                <w:bCs/>
                <w:sz w:val="20"/>
                <w:szCs w:val="20"/>
                <w:lang w:val="en-US"/>
              </w:rPr>
            </w:pPr>
            <w:r w:rsidRPr="00E84230">
              <w:rPr>
                <w:rFonts w:ascii="Arial" w:hAnsi="Arial" w:cs="Arial"/>
                <w:b/>
                <w:bCs/>
                <w:sz w:val="20"/>
                <w:szCs w:val="20"/>
                <w:lang w:val="en-US"/>
              </w:rPr>
              <w:t xml:space="preserve">Paper </w:t>
            </w:r>
            <w:r>
              <w:rPr>
                <w:rFonts w:ascii="Arial" w:hAnsi="Arial" w:cs="Arial"/>
                <w:b/>
                <w:bCs/>
                <w:sz w:val="20"/>
                <w:szCs w:val="20"/>
                <w:lang w:val="en-US"/>
              </w:rPr>
              <w:t>ID</w:t>
            </w:r>
          </w:p>
        </w:tc>
        <w:tc>
          <w:tcPr>
            <w:tcW w:w="6339" w:type="dxa"/>
            <w:vAlign w:val="center"/>
          </w:tcPr>
          <w:p w14:paraId="74F4D39F" w14:textId="299D0FAD" w:rsidR="004B65CC" w:rsidRPr="00AE1338" w:rsidRDefault="004B65CC" w:rsidP="00A51969">
            <w:pPr>
              <w:spacing w:after="0" w:line="240" w:lineRule="auto"/>
              <w:jc w:val="center"/>
              <w:rPr>
                <w:rFonts w:ascii="Arial" w:hAnsi="Arial" w:cs="Arial"/>
                <w:b/>
                <w:bCs/>
                <w:sz w:val="20"/>
                <w:szCs w:val="20"/>
                <w:lang w:val="en-US"/>
              </w:rPr>
            </w:pPr>
            <w:r w:rsidRPr="00E84230">
              <w:rPr>
                <w:rFonts w:ascii="Arial" w:hAnsi="Arial" w:cs="Arial"/>
                <w:b/>
                <w:bCs/>
                <w:sz w:val="20"/>
                <w:szCs w:val="20"/>
                <w:lang w:val="en-US"/>
              </w:rPr>
              <w:t>Paper</w:t>
            </w:r>
            <w:r>
              <w:rPr>
                <w:rFonts w:ascii="Arial" w:hAnsi="Arial" w:cs="Arial"/>
                <w:b/>
                <w:bCs/>
                <w:sz w:val="20"/>
                <w:szCs w:val="20"/>
                <w:lang w:val="en-US"/>
              </w:rPr>
              <w:t xml:space="preserve"> Title</w:t>
            </w:r>
          </w:p>
        </w:tc>
      </w:tr>
      <w:tr w:rsidR="004066FB" w:rsidRPr="00AE1338" w14:paraId="65C24A9D" w14:textId="77777777" w:rsidTr="00C85D05">
        <w:trPr>
          <w:jc w:val="center"/>
        </w:trPr>
        <w:tc>
          <w:tcPr>
            <w:tcW w:w="1696" w:type="dxa"/>
            <w:vAlign w:val="center"/>
          </w:tcPr>
          <w:p w14:paraId="6C86CE46" w14:textId="6B547D22" w:rsidR="004066FB"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09:00–09:20</w:t>
            </w:r>
          </w:p>
        </w:tc>
        <w:tc>
          <w:tcPr>
            <w:tcW w:w="1701" w:type="dxa"/>
            <w:vAlign w:val="center"/>
          </w:tcPr>
          <w:p w14:paraId="0AA43C8F" w14:textId="11157290"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174</w:t>
            </w:r>
          </w:p>
        </w:tc>
        <w:tc>
          <w:tcPr>
            <w:tcW w:w="6339" w:type="dxa"/>
            <w:vAlign w:val="center"/>
          </w:tcPr>
          <w:p w14:paraId="59B3E76E" w14:textId="7ED8A798"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A Revenue Stability Framework for Sustainable E-Commerce Marketplaces: Empirical Evidence from Fashion Sellers on Shopee Indonesia</w:t>
            </w:r>
          </w:p>
        </w:tc>
      </w:tr>
      <w:tr w:rsidR="004066FB" w:rsidRPr="00AE1338" w14:paraId="786BE679" w14:textId="77777777" w:rsidTr="00C85D05">
        <w:trPr>
          <w:jc w:val="center"/>
        </w:trPr>
        <w:tc>
          <w:tcPr>
            <w:tcW w:w="1696" w:type="dxa"/>
            <w:vAlign w:val="center"/>
          </w:tcPr>
          <w:p w14:paraId="69B55933" w14:textId="061276B9"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09:20–09:40</w:t>
            </w:r>
          </w:p>
        </w:tc>
        <w:tc>
          <w:tcPr>
            <w:tcW w:w="1701" w:type="dxa"/>
            <w:vAlign w:val="center"/>
          </w:tcPr>
          <w:p w14:paraId="6D2BF681" w14:textId="58A275A4"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175</w:t>
            </w:r>
          </w:p>
        </w:tc>
        <w:tc>
          <w:tcPr>
            <w:tcW w:w="6339" w:type="dxa"/>
            <w:vAlign w:val="center"/>
          </w:tcPr>
          <w:p w14:paraId="4A9CB22B" w14:textId="6B880558"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AR Virtual Try-On as a Driver of Purchase Intention of Makeup Brands in E-Commerce through Perceived Value and Brand Preference</w:t>
            </w:r>
          </w:p>
        </w:tc>
      </w:tr>
      <w:tr w:rsidR="004066FB" w:rsidRPr="00AE1338" w14:paraId="2C51EC3C" w14:textId="77777777" w:rsidTr="00C85D05">
        <w:trPr>
          <w:jc w:val="center"/>
        </w:trPr>
        <w:tc>
          <w:tcPr>
            <w:tcW w:w="1696" w:type="dxa"/>
            <w:vAlign w:val="center"/>
          </w:tcPr>
          <w:p w14:paraId="5E759B67" w14:textId="6833107A"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09:40–10:00</w:t>
            </w:r>
          </w:p>
        </w:tc>
        <w:tc>
          <w:tcPr>
            <w:tcW w:w="1701" w:type="dxa"/>
            <w:vAlign w:val="center"/>
          </w:tcPr>
          <w:p w14:paraId="60D7AA63" w14:textId="5C41E8F8"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178</w:t>
            </w:r>
          </w:p>
        </w:tc>
        <w:tc>
          <w:tcPr>
            <w:tcW w:w="6339" w:type="dxa"/>
            <w:vAlign w:val="center"/>
          </w:tcPr>
          <w:p w14:paraId="4CB08E5A" w14:textId="6793506D"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Can Digital Infrastructure Reduce Zombie Firms? Evidence from Four Asian Economies</w:t>
            </w:r>
          </w:p>
        </w:tc>
      </w:tr>
      <w:tr w:rsidR="004066FB" w:rsidRPr="00AE1338" w14:paraId="587E2C11" w14:textId="77777777" w:rsidTr="00C85D05">
        <w:trPr>
          <w:jc w:val="center"/>
        </w:trPr>
        <w:tc>
          <w:tcPr>
            <w:tcW w:w="1696" w:type="dxa"/>
            <w:vAlign w:val="center"/>
          </w:tcPr>
          <w:p w14:paraId="5DE095F5" w14:textId="0B3593F4"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10:00–10:20</w:t>
            </w:r>
          </w:p>
        </w:tc>
        <w:tc>
          <w:tcPr>
            <w:tcW w:w="1701" w:type="dxa"/>
            <w:vAlign w:val="center"/>
          </w:tcPr>
          <w:p w14:paraId="0BE5C1E2" w14:textId="198159BD"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182</w:t>
            </w:r>
          </w:p>
        </w:tc>
        <w:tc>
          <w:tcPr>
            <w:tcW w:w="6339" w:type="dxa"/>
            <w:vAlign w:val="center"/>
          </w:tcPr>
          <w:p w14:paraId="084BA178" w14:textId="125C6FF8"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Design and Development of a Strategic Governance Assessment Tool for an Integrated IT Governance</w:t>
            </w:r>
          </w:p>
        </w:tc>
      </w:tr>
      <w:tr w:rsidR="004066FB" w:rsidRPr="00AE1338" w14:paraId="5E546743" w14:textId="77777777" w:rsidTr="00C85D05">
        <w:trPr>
          <w:jc w:val="center"/>
        </w:trPr>
        <w:tc>
          <w:tcPr>
            <w:tcW w:w="1696" w:type="dxa"/>
            <w:vAlign w:val="center"/>
          </w:tcPr>
          <w:p w14:paraId="7B6D8035" w14:textId="533C145B"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10:20–10:40</w:t>
            </w:r>
          </w:p>
        </w:tc>
        <w:tc>
          <w:tcPr>
            <w:tcW w:w="1701" w:type="dxa"/>
            <w:vAlign w:val="center"/>
          </w:tcPr>
          <w:p w14:paraId="32DC7102" w14:textId="7F403B6E"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184</w:t>
            </w:r>
          </w:p>
        </w:tc>
        <w:tc>
          <w:tcPr>
            <w:tcW w:w="6339" w:type="dxa"/>
            <w:vAlign w:val="center"/>
          </w:tcPr>
          <w:p w14:paraId="4DE82807" w14:textId="5E34EFF5"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Privacy-Sensitive Generative AI Sourcing in Federal Information Systems</w:t>
            </w:r>
          </w:p>
        </w:tc>
      </w:tr>
      <w:tr w:rsidR="004066FB" w:rsidRPr="00AE1338" w14:paraId="533BEEA6" w14:textId="77777777" w:rsidTr="00C85D05">
        <w:trPr>
          <w:jc w:val="center"/>
        </w:trPr>
        <w:tc>
          <w:tcPr>
            <w:tcW w:w="1696" w:type="dxa"/>
            <w:vAlign w:val="center"/>
          </w:tcPr>
          <w:p w14:paraId="670A638F" w14:textId="02EF6BB0"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10:40–11:00</w:t>
            </w:r>
          </w:p>
        </w:tc>
        <w:tc>
          <w:tcPr>
            <w:tcW w:w="1701" w:type="dxa"/>
            <w:vAlign w:val="center"/>
          </w:tcPr>
          <w:p w14:paraId="149A4636" w14:textId="2FE673BB"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185</w:t>
            </w:r>
          </w:p>
        </w:tc>
        <w:tc>
          <w:tcPr>
            <w:tcW w:w="6339" w:type="dxa"/>
            <w:vAlign w:val="center"/>
          </w:tcPr>
          <w:p w14:paraId="7D84303F" w14:textId="36F28BB9"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Artificial Intelligence-Driven Tax Compliance Architecture for Addressing Corporate Tax Avoidance</w:t>
            </w:r>
          </w:p>
        </w:tc>
      </w:tr>
      <w:tr w:rsidR="004066FB" w:rsidRPr="00AE1338" w14:paraId="31DF9944" w14:textId="77777777" w:rsidTr="00C85D05">
        <w:trPr>
          <w:jc w:val="center"/>
        </w:trPr>
        <w:tc>
          <w:tcPr>
            <w:tcW w:w="1696" w:type="dxa"/>
            <w:vAlign w:val="center"/>
          </w:tcPr>
          <w:p w14:paraId="3D3F499F" w14:textId="2A45BC3E"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11:00–11:20</w:t>
            </w:r>
          </w:p>
        </w:tc>
        <w:tc>
          <w:tcPr>
            <w:tcW w:w="1701" w:type="dxa"/>
            <w:vAlign w:val="center"/>
          </w:tcPr>
          <w:p w14:paraId="3FF82125" w14:textId="11E71A4B"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187</w:t>
            </w:r>
          </w:p>
        </w:tc>
        <w:tc>
          <w:tcPr>
            <w:tcW w:w="6339" w:type="dxa"/>
            <w:vAlign w:val="center"/>
          </w:tcPr>
          <w:p w14:paraId="2D1C4DC0" w14:textId="69E859CE"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Understanding Financial Statement Fraud in ASEAN Banks through the Fraud Diamond Theory</w:t>
            </w:r>
          </w:p>
        </w:tc>
      </w:tr>
      <w:tr w:rsidR="004066FB" w:rsidRPr="00AE1338" w14:paraId="104C354D" w14:textId="77777777" w:rsidTr="00C85D05">
        <w:trPr>
          <w:jc w:val="center"/>
        </w:trPr>
        <w:tc>
          <w:tcPr>
            <w:tcW w:w="1696" w:type="dxa"/>
            <w:vAlign w:val="center"/>
          </w:tcPr>
          <w:p w14:paraId="6A07895C" w14:textId="2BE7F303"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11:20–11:40</w:t>
            </w:r>
          </w:p>
        </w:tc>
        <w:tc>
          <w:tcPr>
            <w:tcW w:w="1701" w:type="dxa"/>
            <w:vAlign w:val="center"/>
          </w:tcPr>
          <w:p w14:paraId="3E2D8F73" w14:textId="11CA1446"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189</w:t>
            </w:r>
          </w:p>
        </w:tc>
        <w:tc>
          <w:tcPr>
            <w:tcW w:w="6339" w:type="dxa"/>
            <w:vAlign w:val="center"/>
          </w:tcPr>
          <w:p w14:paraId="74E5005F" w14:textId="10786C24"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A Predictive Pipeline Maintenance Model to Improve Water Utility Efficiency</w:t>
            </w:r>
          </w:p>
        </w:tc>
      </w:tr>
      <w:tr w:rsidR="004066FB" w:rsidRPr="00AE1338" w14:paraId="252C3792" w14:textId="77777777" w:rsidTr="00C85D05">
        <w:trPr>
          <w:jc w:val="center"/>
        </w:trPr>
        <w:tc>
          <w:tcPr>
            <w:tcW w:w="1696" w:type="dxa"/>
            <w:vAlign w:val="center"/>
          </w:tcPr>
          <w:p w14:paraId="56A576F4" w14:textId="68AA52FB"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11:40–12:00</w:t>
            </w:r>
          </w:p>
        </w:tc>
        <w:tc>
          <w:tcPr>
            <w:tcW w:w="1701" w:type="dxa"/>
            <w:vAlign w:val="center"/>
          </w:tcPr>
          <w:p w14:paraId="24D16062" w14:textId="76D96915"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195</w:t>
            </w:r>
          </w:p>
        </w:tc>
        <w:tc>
          <w:tcPr>
            <w:tcW w:w="6339" w:type="dxa"/>
            <w:vAlign w:val="center"/>
          </w:tcPr>
          <w:p w14:paraId="0F6B5F1B" w14:textId="14A0281B"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 xml:space="preserve">Comprehensive Evolution Framework </w:t>
            </w:r>
            <w:proofErr w:type="gramStart"/>
            <w:r>
              <w:rPr>
                <w:rFonts w:ascii="Arial" w:hAnsi="Arial" w:cs="Arial"/>
                <w:color w:val="000000"/>
                <w:sz w:val="20"/>
                <w:szCs w:val="20"/>
              </w:rPr>
              <w:t>For</w:t>
            </w:r>
            <w:proofErr w:type="gramEnd"/>
            <w:r>
              <w:rPr>
                <w:rFonts w:ascii="Arial" w:hAnsi="Arial" w:cs="Arial"/>
                <w:color w:val="000000"/>
                <w:sz w:val="20"/>
                <w:szCs w:val="20"/>
              </w:rPr>
              <w:t xml:space="preserve"> TVET 5.0: Integrating Human-Centricity </w:t>
            </w:r>
            <w:proofErr w:type="gramStart"/>
            <w:r>
              <w:rPr>
                <w:rFonts w:ascii="Arial" w:hAnsi="Arial" w:cs="Arial"/>
                <w:color w:val="000000"/>
                <w:sz w:val="20"/>
                <w:szCs w:val="20"/>
              </w:rPr>
              <w:t>And</w:t>
            </w:r>
            <w:proofErr w:type="gramEnd"/>
            <w:r>
              <w:rPr>
                <w:rFonts w:ascii="Arial" w:hAnsi="Arial" w:cs="Arial"/>
                <w:color w:val="000000"/>
                <w:sz w:val="20"/>
                <w:szCs w:val="20"/>
              </w:rPr>
              <w:t xml:space="preserve"> Digital Symbiosis </w:t>
            </w:r>
            <w:proofErr w:type="gramStart"/>
            <w:r>
              <w:rPr>
                <w:rFonts w:ascii="Arial" w:hAnsi="Arial" w:cs="Arial"/>
                <w:color w:val="000000"/>
                <w:sz w:val="20"/>
                <w:szCs w:val="20"/>
              </w:rPr>
              <w:t>In</w:t>
            </w:r>
            <w:proofErr w:type="gramEnd"/>
            <w:r>
              <w:rPr>
                <w:rFonts w:ascii="Arial" w:hAnsi="Arial" w:cs="Arial"/>
                <w:color w:val="000000"/>
                <w:sz w:val="20"/>
                <w:szCs w:val="20"/>
              </w:rPr>
              <w:t xml:space="preserve"> Vocational Education</w:t>
            </w:r>
          </w:p>
        </w:tc>
      </w:tr>
      <w:tr w:rsidR="004066FB" w:rsidRPr="00AE1338" w14:paraId="59E97D9A" w14:textId="77777777" w:rsidTr="00C85D05">
        <w:trPr>
          <w:jc w:val="center"/>
        </w:trPr>
        <w:tc>
          <w:tcPr>
            <w:tcW w:w="1696" w:type="dxa"/>
            <w:vAlign w:val="center"/>
          </w:tcPr>
          <w:p w14:paraId="2C5CAEB0" w14:textId="188A243A" w:rsidR="004066FB" w:rsidRPr="00AE1338" w:rsidRDefault="004066FB" w:rsidP="004066FB">
            <w:pPr>
              <w:spacing w:after="0" w:line="240" w:lineRule="auto"/>
              <w:jc w:val="center"/>
              <w:rPr>
                <w:rFonts w:ascii="Arial" w:hAnsi="Arial" w:cs="Arial"/>
                <w:b/>
                <w:bCs/>
                <w:sz w:val="20"/>
                <w:szCs w:val="20"/>
                <w:lang w:val="en-US"/>
              </w:rPr>
            </w:pPr>
            <w:r w:rsidRPr="004066FB">
              <w:rPr>
                <w:rFonts w:ascii="Arial" w:hAnsi="Arial" w:cs="Arial"/>
                <w:b/>
                <w:bCs/>
                <w:color w:val="000000"/>
                <w:sz w:val="20"/>
                <w:szCs w:val="20"/>
              </w:rPr>
              <w:t>1</w:t>
            </w:r>
            <w:r>
              <w:rPr>
                <w:rFonts w:ascii="Arial" w:hAnsi="Arial" w:cs="Arial"/>
                <w:b/>
                <w:bCs/>
                <w:color w:val="000000"/>
                <w:sz w:val="20"/>
                <w:szCs w:val="20"/>
              </w:rPr>
              <w:t>2</w:t>
            </w:r>
            <w:r w:rsidRPr="004066FB">
              <w:rPr>
                <w:rFonts w:ascii="Arial" w:hAnsi="Arial" w:cs="Arial"/>
                <w:b/>
                <w:bCs/>
                <w:color w:val="000000"/>
                <w:sz w:val="20"/>
                <w:szCs w:val="20"/>
              </w:rPr>
              <w:t>:00–1</w:t>
            </w:r>
            <w:r>
              <w:rPr>
                <w:rFonts w:ascii="Arial" w:hAnsi="Arial" w:cs="Arial"/>
                <w:b/>
                <w:bCs/>
                <w:color w:val="000000"/>
                <w:sz w:val="20"/>
                <w:szCs w:val="20"/>
              </w:rPr>
              <w:t>2</w:t>
            </w:r>
            <w:r w:rsidRPr="004066FB">
              <w:rPr>
                <w:rFonts w:ascii="Arial" w:hAnsi="Arial" w:cs="Arial"/>
                <w:b/>
                <w:bCs/>
                <w:color w:val="000000"/>
                <w:sz w:val="20"/>
                <w:szCs w:val="20"/>
              </w:rPr>
              <w:t>:20</w:t>
            </w:r>
          </w:p>
        </w:tc>
        <w:tc>
          <w:tcPr>
            <w:tcW w:w="1701" w:type="dxa"/>
            <w:vAlign w:val="center"/>
          </w:tcPr>
          <w:p w14:paraId="7AA656D2" w14:textId="7D341C68"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200</w:t>
            </w:r>
          </w:p>
        </w:tc>
        <w:tc>
          <w:tcPr>
            <w:tcW w:w="6339" w:type="dxa"/>
            <w:vAlign w:val="center"/>
          </w:tcPr>
          <w:p w14:paraId="5A5DC207" w14:textId="5332A9EE" w:rsidR="004066FB" w:rsidRPr="00AE1338" w:rsidRDefault="004066FB" w:rsidP="004066FB">
            <w:pPr>
              <w:spacing w:after="0" w:line="240" w:lineRule="auto"/>
              <w:jc w:val="center"/>
              <w:rPr>
                <w:rFonts w:ascii="Arial" w:hAnsi="Arial" w:cs="Arial"/>
                <w:sz w:val="20"/>
                <w:szCs w:val="20"/>
                <w:lang w:val="en-US"/>
              </w:rPr>
            </w:pPr>
            <w:r>
              <w:rPr>
                <w:rFonts w:ascii="Arial" w:hAnsi="Arial" w:cs="Arial"/>
                <w:color w:val="000000"/>
                <w:sz w:val="20"/>
                <w:szCs w:val="20"/>
              </w:rPr>
              <w:t>Mapping Trustworthy Retrieval-Augmented Generation: A Multidimensional Landscape Across Pipeline Stages</w:t>
            </w:r>
          </w:p>
        </w:tc>
      </w:tr>
      <w:tr w:rsidR="006B64FC" w:rsidRPr="00AE1338" w14:paraId="60EB6FC5" w14:textId="77777777" w:rsidTr="00C85D05">
        <w:trPr>
          <w:jc w:val="center"/>
        </w:trPr>
        <w:tc>
          <w:tcPr>
            <w:tcW w:w="1696" w:type="dxa"/>
            <w:vAlign w:val="center"/>
          </w:tcPr>
          <w:p w14:paraId="3042F8AE" w14:textId="5D9704E7" w:rsidR="006B64FC" w:rsidRPr="004066FB" w:rsidRDefault="006B64FC" w:rsidP="004066FB">
            <w:pPr>
              <w:spacing w:after="0" w:line="240" w:lineRule="auto"/>
              <w:jc w:val="center"/>
              <w:rPr>
                <w:rFonts w:ascii="Arial" w:hAnsi="Arial" w:cs="Arial"/>
                <w:b/>
                <w:bCs/>
                <w:color w:val="000000"/>
                <w:sz w:val="20"/>
                <w:szCs w:val="20"/>
              </w:rPr>
            </w:pPr>
            <w:r w:rsidRPr="006B64FC">
              <w:rPr>
                <w:rFonts w:ascii="Arial" w:hAnsi="Arial" w:cs="Arial"/>
                <w:b/>
                <w:bCs/>
                <w:color w:val="000000"/>
                <w:sz w:val="20"/>
                <w:szCs w:val="20"/>
              </w:rPr>
              <w:lastRenderedPageBreak/>
              <w:t>12:</w:t>
            </w:r>
            <w:r>
              <w:rPr>
                <w:rFonts w:ascii="Arial" w:hAnsi="Arial" w:cs="Arial"/>
                <w:b/>
                <w:bCs/>
                <w:color w:val="000000"/>
                <w:sz w:val="20"/>
                <w:szCs w:val="20"/>
              </w:rPr>
              <w:t>2</w:t>
            </w:r>
            <w:r w:rsidRPr="006B64FC">
              <w:rPr>
                <w:rFonts w:ascii="Arial" w:hAnsi="Arial" w:cs="Arial"/>
                <w:b/>
                <w:bCs/>
                <w:color w:val="000000"/>
                <w:sz w:val="20"/>
                <w:szCs w:val="20"/>
              </w:rPr>
              <w:t>0–12:</w:t>
            </w:r>
            <w:r>
              <w:rPr>
                <w:rFonts w:ascii="Arial" w:hAnsi="Arial" w:cs="Arial"/>
                <w:b/>
                <w:bCs/>
                <w:color w:val="000000"/>
                <w:sz w:val="20"/>
                <w:szCs w:val="20"/>
              </w:rPr>
              <w:t>40</w:t>
            </w:r>
          </w:p>
        </w:tc>
        <w:tc>
          <w:tcPr>
            <w:tcW w:w="1701" w:type="dxa"/>
            <w:vAlign w:val="center"/>
          </w:tcPr>
          <w:p w14:paraId="144AEEA6" w14:textId="6E9433A9" w:rsidR="006B64FC" w:rsidRDefault="006B64FC" w:rsidP="004066FB">
            <w:pPr>
              <w:spacing w:after="0" w:line="240" w:lineRule="auto"/>
              <w:jc w:val="center"/>
              <w:rPr>
                <w:rFonts w:ascii="Arial" w:hAnsi="Arial" w:cs="Arial"/>
                <w:color w:val="000000"/>
                <w:sz w:val="20"/>
                <w:szCs w:val="20"/>
              </w:rPr>
            </w:pPr>
            <w:r>
              <w:rPr>
                <w:rFonts w:ascii="Arial" w:hAnsi="Arial" w:cs="Arial"/>
                <w:color w:val="000000"/>
                <w:sz w:val="20"/>
                <w:szCs w:val="20"/>
              </w:rPr>
              <w:t>205</w:t>
            </w:r>
          </w:p>
        </w:tc>
        <w:tc>
          <w:tcPr>
            <w:tcW w:w="6339" w:type="dxa"/>
            <w:vAlign w:val="center"/>
          </w:tcPr>
          <w:p w14:paraId="19B21C11" w14:textId="69A32132" w:rsidR="006B64FC" w:rsidRDefault="006B64FC" w:rsidP="004066FB">
            <w:pPr>
              <w:spacing w:after="0" w:line="240" w:lineRule="auto"/>
              <w:jc w:val="center"/>
              <w:rPr>
                <w:rFonts w:ascii="Arial" w:hAnsi="Arial" w:cs="Arial"/>
                <w:color w:val="000000"/>
                <w:sz w:val="20"/>
                <w:szCs w:val="20"/>
              </w:rPr>
            </w:pPr>
            <w:r w:rsidRPr="006B64FC">
              <w:rPr>
                <w:rFonts w:ascii="Arial" w:hAnsi="Arial" w:cs="Arial"/>
                <w:color w:val="000000"/>
                <w:sz w:val="20"/>
                <w:szCs w:val="20"/>
              </w:rPr>
              <w:t>Preliminary Research on the Indonesian E-Tax Administration System Effectiveness in Supporting Tax Compliance</w:t>
            </w:r>
          </w:p>
        </w:tc>
      </w:tr>
    </w:tbl>
    <w:p w14:paraId="7C3CB824" w14:textId="77777777" w:rsidR="00A91B43" w:rsidRPr="00AE1338" w:rsidRDefault="00A91B43" w:rsidP="00A51969">
      <w:pPr>
        <w:spacing w:after="0" w:line="240" w:lineRule="auto"/>
        <w:rPr>
          <w:rFonts w:ascii="Arial" w:hAnsi="Arial" w:cs="Arial"/>
          <w:b/>
          <w:bCs/>
          <w:sz w:val="20"/>
          <w:szCs w:val="20"/>
          <w:lang w:val="en-US"/>
        </w:rPr>
      </w:pPr>
    </w:p>
    <w:p w14:paraId="431EF309" w14:textId="2BC5FE83" w:rsidR="00396B5F" w:rsidRPr="00AE1338" w:rsidRDefault="003B7C3B" w:rsidP="00A51969">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jc w:val="center"/>
        <w:rPr>
          <w:rFonts w:ascii="Arial" w:hAnsi="Arial" w:cs="Arial"/>
          <w:b/>
          <w:bCs/>
          <w:sz w:val="20"/>
          <w:szCs w:val="20"/>
          <w:lang w:val="en-US"/>
        </w:rPr>
      </w:pPr>
      <w:r w:rsidRPr="003B7C3B">
        <w:rPr>
          <w:rFonts w:ascii="Arial" w:hAnsi="Arial" w:cs="Arial"/>
          <w:b/>
          <w:bCs/>
          <w:sz w:val="20"/>
          <w:szCs w:val="20"/>
          <w:lang w:val="en-US"/>
        </w:rPr>
        <w:t>INSIGHT2026 Accepted Papers with Abstracts</w:t>
      </w:r>
    </w:p>
    <w:p w14:paraId="06D38DBA" w14:textId="77777777" w:rsidR="00BF72B7" w:rsidRPr="003B7C3B" w:rsidRDefault="00BF72B7" w:rsidP="00A51969">
      <w:pPr>
        <w:spacing w:after="0" w:line="240" w:lineRule="auto"/>
        <w:jc w:val="both"/>
        <w:rPr>
          <w:rFonts w:ascii="Arial" w:hAnsi="Arial" w:cs="Arial"/>
          <w:sz w:val="20"/>
          <w:szCs w:val="20"/>
        </w:rPr>
      </w:pPr>
    </w:p>
    <w:p w14:paraId="7A4E48DD" w14:textId="77777777"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Muhammad Zaky Yusuf Pahlevi and Jessicania Windari. Designing a Blockchain-Based System to Enhance Security in Indonesia's Halal Certification Process</w:t>
      </w:r>
    </w:p>
    <w:p w14:paraId="284E4DFB" w14:textId="7425BA2A"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The halal product ecosystem is now a large economic sector in Indonesia. In this regard, halal certification is now considered a basic requirement among Indonesians to differentiate between halal and non- halal food products. Nevertheless, the process of implementing the halal certification through the concerned government agencies could have potential risks that threaten data integrity and could consequently destroy the credibility of the product's halal status among the consumers. This study proposes to create a framework for such a system utilizing blockchain technology to mitigate the above-mentioned challenges. This proposed system is expected to offer in-depth tracking of every aspect of the halal certification process and can be used as a verification service for the authenticity of halal certificates. By harnessing blockchain and chaincode technology as the logic for the business flow of the proposed system itself, every transaction associated with the halal certification process will be immutable (unchangeable) to ensure the increased accountability and security of data in the process. This framework for the overall system is anticipated to accomplish the validation process between government agencies and companies more efficiently. In addition, it is expected to improve public trust in the Halal product ecosystem in Indonesia.</w:t>
      </w:r>
    </w:p>
    <w:p w14:paraId="4C73D737" w14:textId="77777777" w:rsidR="00CD7B0B" w:rsidRDefault="00CD7B0B" w:rsidP="00A51969">
      <w:pPr>
        <w:spacing w:after="0" w:line="240" w:lineRule="auto"/>
        <w:jc w:val="both"/>
        <w:rPr>
          <w:rFonts w:ascii="Arial" w:hAnsi="Arial" w:cs="Arial"/>
          <w:sz w:val="20"/>
          <w:szCs w:val="20"/>
        </w:rPr>
      </w:pPr>
    </w:p>
    <w:p w14:paraId="5F126E39" w14:textId="27A3A814"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Martin Fo, Anderes Gui, I Gusti Made Karmawan, Muhammad Shabir Shaharudin, Drajad Wiryawan and Stefanus Rumangkit. The Impact of Digital Transformation in Accounting</w:t>
      </w:r>
    </w:p>
    <w:p w14:paraId="611B6AF4" w14:textId="1C683554"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This study were examine and explore impact digital transformation on accounting in many enterprises which emphasizes Decision making quality (DMQ) and Cloud based accounting effectiveness (CBAE) by using partial least squares structural equation modelling (PLS-SEM) which many enterprises on Vietnam and other enterprises highlights that digital transformation strengthen, positively influence DMQ and firm performance with digital leadership amplify those effects. In the different sector, which </w:t>
      </w:r>
      <w:proofErr w:type="gramStart"/>
      <w:r w:rsidR="00C072F1" w:rsidRPr="00C072F1">
        <w:rPr>
          <w:rFonts w:ascii="Arial" w:hAnsi="Arial" w:cs="Arial"/>
          <w:sz w:val="20"/>
          <w:szCs w:val="20"/>
        </w:rPr>
        <w:t>an</w:t>
      </w:r>
      <w:proofErr w:type="gramEnd"/>
      <w:r w:rsidR="00C072F1" w:rsidRPr="00C072F1">
        <w:rPr>
          <w:rFonts w:ascii="Arial" w:hAnsi="Arial" w:cs="Arial"/>
          <w:sz w:val="20"/>
          <w:szCs w:val="20"/>
        </w:rPr>
        <w:t xml:space="preserve"> dual perspective based on TOE frameworks can identify key that influences factors on digital transformation in different sectors and enterprises. Surveys from many people were analyzed through the PLS-SEM revealing that important factors and multiple pathways on transformation in seven ways which many findings underscoring vital role on top management support, policy initiatives and digital leadership in successful digital transformation. This research </w:t>
      </w:r>
      <w:proofErr w:type="gramStart"/>
      <w:r w:rsidR="00C072F1" w:rsidRPr="00C072F1">
        <w:rPr>
          <w:rFonts w:ascii="Arial" w:hAnsi="Arial" w:cs="Arial"/>
          <w:sz w:val="20"/>
          <w:szCs w:val="20"/>
        </w:rPr>
        <w:t>were</w:t>
      </w:r>
      <w:proofErr w:type="gramEnd"/>
      <w:r w:rsidR="00C072F1" w:rsidRPr="00C072F1">
        <w:rPr>
          <w:rFonts w:ascii="Arial" w:hAnsi="Arial" w:cs="Arial"/>
          <w:sz w:val="20"/>
          <w:szCs w:val="20"/>
        </w:rPr>
        <w:t xml:space="preserve"> </w:t>
      </w:r>
      <w:proofErr w:type="gramStart"/>
      <w:r w:rsidR="00C072F1" w:rsidRPr="00C072F1">
        <w:rPr>
          <w:rFonts w:ascii="Arial" w:hAnsi="Arial" w:cs="Arial"/>
          <w:sz w:val="20"/>
          <w:szCs w:val="20"/>
        </w:rPr>
        <w:t>enriches</w:t>
      </w:r>
      <w:proofErr w:type="gramEnd"/>
      <w:r w:rsidR="00C072F1" w:rsidRPr="00C072F1">
        <w:rPr>
          <w:rFonts w:ascii="Arial" w:hAnsi="Arial" w:cs="Arial"/>
          <w:sz w:val="20"/>
          <w:szCs w:val="20"/>
        </w:rPr>
        <w:t xml:space="preserve"> by providing strategic insights for firms navigate evolving digital landscape and understanding on digitalization accounting and construction industry.</w:t>
      </w:r>
    </w:p>
    <w:p w14:paraId="07D7A082" w14:textId="77777777" w:rsidR="00CD7B0B" w:rsidRPr="0009073A" w:rsidRDefault="00CD7B0B" w:rsidP="00A51969">
      <w:pPr>
        <w:spacing w:after="0" w:line="240" w:lineRule="auto"/>
        <w:jc w:val="both"/>
        <w:rPr>
          <w:rFonts w:ascii="Arial" w:hAnsi="Arial" w:cs="Arial"/>
          <w:sz w:val="20"/>
          <w:szCs w:val="20"/>
          <w:lang w:val="en-US"/>
        </w:rPr>
      </w:pPr>
    </w:p>
    <w:p w14:paraId="73E30235" w14:textId="13142B8E"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lang w:val="sv-SE"/>
        </w:rPr>
        <w:t xml:space="preserve">Ghyfara Annisza Putri, Melissa Andrea and Erwin Halim. </w:t>
      </w:r>
      <w:r w:rsidRPr="00C072F1">
        <w:rPr>
          <w:rFonts w:ascii="Arial" w:hAnsi="Arial" w:cs="Arial"/>
          <w:sz w:val="20"/>
          <w:szCs w:val="20"/>
        </w:rPr>
        <w:t>A Study of User Motivations and Loyalty Patterns in Digital Music Streaming Landscape</w:t>
      </w:r>
    </w:p>
    <w:p w14:paraId="66D896D9" w14:textId="7EEB4442"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Music streaming platform explosive expansion has made the market more competitive. Every year, music streaming platform gain more traction in Indonesia. In 2024, 54.07% of Indonesians used the internet to access streaming services for music listening. However, to boost revenue growth, companies must continue to preserve client loyalty. Using “Uses &amp; Gratification theory”, this study seeks to identify the elements that motivate users to stick with music streaming platforms. The data in this quantitative study was analyzed using par-tial least squares (PLS) and structural equation modeling (SEM). The statistical tools for the SEM PLS computation in this study were SMART PLS 4. The 435 respondents’ data was gathered by Google Forms in October 2025, taken at Greater Jakarta and other cities in Indonesia. With purposive sampling method, the respondents of people who listen to music by streaming. This study uses eight variables with eight hypotheses. The result of the study reveals that one out of eight hypotheses was not accepted. The variable perceived ease of use and per-ceived enjoyment have impact on customer experience, entertainment and ser-vice quality have impact on customer satisfaction, customer experience and cus-tomer satisfaction have significant impact on customer loyalty. However, the var-iable social presence has not significant impact on customer satisfaction.</w:t>
      </w:r>
    </w:p>
    <w:p w14:paraId="7871E608" w14:textId="77777777" w:rsidR="00CD7B0B" w:rsidRDefault="00CD7B0B" w:rsidP="00A51969">
      <w:pPr>
        <w:spacing w:after="0" w:line="240" w:lineRule="auto"/>
        <w:jc w:val="both"/>
        <w:rPr>
          <w:rFonts w:ascii="Arial" w:hAnsi="Arial" w:cs="Arial"/>
          <w:sz w:val="20"/>
          <w:szCs w:val="20"/>
        </w:rPr>
      </w:pPr>
    </w:p>
    <w:p w14:paraId="1E1FFCBE" w14:textId="76355E5C"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Veronica Veronica, Erwin Halim, Stefanus Abel Candra Putrano, Howell Bernardi Salim and Putu Erick Ananda. Building Repurchase Intention Through Customer Satisfaction and Customer Engagement Using Influencers in Digital Marketing</w:t>
      </w:r>
    </w:p>
    <w:p w14:paraId="4C2FCCCE" w14:textId="6A43243D"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This preliminary study examines how security and privacy, service quality, and social media influencers shape customer satisfaction, customer engagement, loyalty, and repurchase intention in Indonesia’s growing digital marketplace. The rapid rise of online promotions has intensified concerns about trust, transparency, and misleading claims, especially in sectors where influencers often endorse unverified or unregulated products. The study aims to identify how these factors interact and influence consumer behavioral responses. A purposive sampling method was employed, targeting Indonesian social media users who actively follow influencers and </w:t>
      </w:r>
      <w:r w:rsidR="00C072F1" w:rsidRPr="00C072F1">
        <w:rPr>
          <w:rFonts w:ascii="Arial" w:hAnsi="Arial" w:cs="Arial"/>
          <w:sz w:val="20"/>
          <w:szCs w:val="20"/>
        </w:rPr>
        <w:lastRenderedPageBreak/>
        <w:t>have purchased products based on influencer recommendations. Data were collected from 50 respondents across major urban regions in Indonesia during year 2025, focusing on individuals aged 18–35 who frequently engage with influencer content. Structural Equation Modeling using Partial Least Squares (SEM-PLS) was used to test the relationships among variables. Results show that security privacy and service quality strengthen customer satisfaction, while social media influencers significantly stimulate customer engagement. Customer satisfaction and engagement enhance loyalty and repurchase intention. The findings highlight that trustworthy environments, credible influencers, and positive consumer experiences are essential for sustaining long-term behavioral commitment in Indonesia’s digital commerce ecosystem.</w:t>
      </w:r>
    </w:p>
    <w:p w14:paraId="4A60BF70" w14:textId="77777777" w:rsidR="00CD7B0B" w:rsidRDefault="00CD7B0B" w:rsidP="00A51969">
      <w:pPr>
        <w:spacing w:after="0" w:line="240" w:lineRule="auto"/>
        <w:jc w:val="both"/>
        <w:rPr>
          <w:rFonts w:ascii="Arial" w:hAnsi="Arial" w:cs="Arial"/>
          <w:sz w:val="20"/>
          <w:szCs w:val="20"/>
        </w:rPr>
      </w:pPr>
    </w:p>
    <w:p w14:paraId="60D0D51F" w14:textId="4492AF6D"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Triwahyu Purnama Putra Nangka, Anderes Gui, I Gusti Made Karmawan, Muhammad Shabir Shaharudin, Stefanus Rumangkit and Drajad Wiryawan. Factors Influencing the Use of Accounting Information Systems in Indonesian SMEs</w:t>
      </w:r>
    </w:p>
    <w:p w14:paraId="468D01BE" w14:textId="12DB323C"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Digital transformation encourages small and medium-sized enterprises (SMEs) to adopt Accounting Information Systems (AIS) to improve operational efficiency. This study examines the effects of relative advantage, organizational readiness, and owner/manager commitment on AIS usage, its impact on operational efficiency. Data were collected through questionnaires from 326 SMEs respondents in Indonesia and analyzed using PLS-SEM. The results indicate that relative advantage and managerial commitment significantly influence AIS usage, whereas organizational readiness does not. AIS usage and post COVID-19 enhance AIS effectiveness, leading to greater operational efficiency.</w:t>
      </w:r>
    </w:p>
    <w:p w14:paraId="31E95B30" w14:textId="77777777" w:rsidR="00CD7B0B" w:rsidRDefault="00CD7B0B" w:rsidP="00A51969">
      <w:pPr>
        <w:spacing w:after="0" w:line="240" w:lineRule="auto"/>
        <w:jc w:val="both"/>
        <w:rPr>
          <w:rFonts w:ascii="Arial" w:hAnsi="Arial" w:cs="Arial"/>
          <w:sz w:val="20"/>
          <w:szCs w:val="20"/>
        </w:rPr>
      </w:pPr>
    </w:p>
    <w:p w14:paraId="2A88BD0D" w14:textId="7C9D1987"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Dedy Syamsuar, Shariff Muttaqin Noviandy and Yadi Ilman Zuhri. Evaluating the Success of e-Office Implementation in Ogan Komering Ilir Regency Using the DeLone and McLean Model</w:t>
      </w:r>
    </w:p>
    <w:p w14:paraId="5AC96C32" w14:textId="1B1A7468"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The acceleration of digitalisation in the public sector has encouraged local governments to adopt information systems to improve bureaucratic efficiency and transparency. One such technological implementation is the e-office application, which is used to manage correspondence and archives electronically. This study aims to analyse the success factors of e-office application implementation within the Ogan Komering Ilir (OKI) Regency Government using the DeLone and McLean Information System Success Model. The study employed a quantitative approach and successfully collected 298 responses, which were then analyzed using Partial Least Squares Structural Equation Modeling (PLS-SEM). The analysis results show that eight of the tested hypotheses were statistically significant, while one was not. The main findings indicate that service quality and information quality have a significant influence on system usage, while user satisfaction and application usage levels directly contribute to institutional benefits. This study confirms that the DeLone and McLean model is relevant for measuring information system success in the public sector and that e-office applications can provide positive impacts when supported by reliable systems and responsive service support.</w:t>
      </w:r>
    </w:p>
    <w:p w14:paraId="446F553F" w14:textId="77777777" w:rsidR="00CD7B0B" w:rsidRDefault="00CD7B0B" w:rsidP="00A51969">
      <w:pPr>
        <w:spacing w:after="0" w:line="240" w:lineRule="auto"/>
        <w:jc w:val="both"/>
        <w:rPr>
          <w:rFonts w:ascii="Arial" w:hAnsi="Arial" w:cs="Arial"/>
          <w:sz w:val="20"/>
          <w:szCs w:val="20"/>
        </w:rPr>
      </w:pPr>
    </w:p>
    <w:p w14:paraId="7C489726" w14:textId="605BFFC0"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Patrice Elizabeth, Didik Madyatmadja, Annisa Kinasih and Maharani Putri Yustia. Public Sentiment Analysis Towards the Performance of the Indonesia National Police on X</w:t>
      </w:r>
    </w:p>
    <w:p w14:paraId="07DB769B" w14:textId="023A930D"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This research studies how people feel about the Indonesian National Police (POLRI) by analyzing tweets written in Bahasa Indonesia. Tweets were col-lected using keywords like “Polri” and “Polisi” from platform X (formerly Twitter). After collection, the text data went through several preprocessing steps such as case folding, tokenization, stopword removal, and stemming to ensure that the information was clean and suitable for analysis. The cleaned tweets were then examined using two machine learning methods: Naïve Bayes and Decision Tree. Each tweet was labeled as positive, negative, or neutral using TextBlob to provide consistent sentiment categories. The re-sults showed that the Decision Tree model produced better accuracy com-pared to Naïve Bayes, indicating that it was more effective in recognizing sentiment patterns in the dataset. Overall, this study helps provide a clearer picture of public opinion toward the police and highlights how social media data and machine learning techniques can work together to support senti-ment analysis.</w:t>
      </w:r>
    </w:p>
    <w:p w14:paraId="197F4F36" w14:textId="77777777" w:rsidR="00CD7B0B" w:rsidRDefault="00CD7B0B" w:rsidP="00A51969">
      <w:pPr>
        <w:spacing w:after="0" w:line="240" w:lineRule="auto"/>
        <w:jc w:val="both"/>
        <w:rPr>
          <w:rFonts w:ascii="Arial" w:hAnsi="Arial" w:cs="Arial"/>
          <w:sz w:val="20"/>
          <w:szCs w:val="20"/>
        </w:rPr>
      </w:pPr>
    </w:p>
    <w:p w14:paraId="0961DE12" w14:textId="7E262C52"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Divya Asri Febrianty, Gusti Putri Khadila and Anderes Gui. Factors Driving Continuance Intention to Use AI Chatbots by Student in Indonesia</w:t>
      </w:r>
    </w:p>
    <w:p w14:paraId="0A911024" w14:textId="457E46FF"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AI chatbots have emerged as an essential tool to enhance student learning efficiency. This research analyzes What factors influence Indonesian stu-dents' continuance usage intention of chatbots, which is an expansion of UTAUT model by adding Personal Innovativeness (PI). In all, 352 responses were gathered and Partial Least Square Structural Equation Modelling (PLS-SEM) was applied. The findings indicate the significant effects of PE, PI, BI and FC on AI chatbot systems use. On the other hand, EE, SI and FC varia-bles were not discovered to possess statistically significant impact on Behav-ioral Intention. The study results suggest that perceived benefits, innovation and intention are antecedents for the use of AI chatbots. This provides deep insights for both educators and developers to promote acceptance of technol-ogy in higher education.</w:t>
      </w:r>
    </w:p>
    <w:p w14:paraId="7BC5E7DA" w14:textId="77777777" w:rsidR="00CD7B0B" w:rsidRDefault="00CD7B0B" w:rsidP="00A51969">
      <w:pPr>
        <w:spacing w:after="0" w:line="240" w:lineRule="auto"/>
        <w:jc w:val="both"/>
        <w:rPr>
          <w:rFonts w:ascii="Arial" w:hAnsi="Arial" w:cs="Arial"/>
          <w:sz w:val="20"/>
          <w:szCs w:val="20"/>
        </w:rPr>
      </w:pPr>
    </w:p>
    <w:p w14:paraId="7A24E002" w14:textId="440E830A"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lastRenderedPageBreak/>
        <w:t>Karen Priscillia Tjuatja Darma, Rebecca Jocelyne Cahya and Anderes Gui. Adoption of Artificial Intelligence in Financial Record-Keeping: A Study on Small Enterprise in Indonesia</w:t>
      </w:r>
    </w:p>
    <w:p w14:paraId="73B2B000" w14:textId="16E72896"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This research considers the factors that affect the intention of Micro, Small, and </w:t>
      </w:r>
      <w:proofErr w:type="gramStart"/>
      <w:r w:rsidR="00C072F1" w:rsidRPr="00C072F1">
        <w:rPr>
          <w:rFonts w:ascii="Arial" w:hAnsi="Arial" w:cs="Arial"/>
          <w:sz w:val="20"/>
          <w:szCs w:val="20"/>
        </w:rPr>
        <w:t>Medium</w:t>
      </w:r>
      <w:proofErr w:type="gramEnd"/>
      <w:r w:rsidR="00C072F1" w:rsidRPr="00C072F1">
        <w:rPr>
          <w:rFonts w:ascii="Arial" w:hAnsi="Arial" w:cs="Arial"/>
          <w:sz w:val="20"/>
          <w:szCs w:val="20"/>
        </w:rPr>
        <w:t xml:space="preserve"> enterprises (MSMEs) in Indonesia to accept Artificial Intelligence (AI) for financial record-keeping. AI can improve accuracy, save time, and help make better decisions. However, with advancements in technology, many MSMEs continually find it a challenge to operate successfully. Limited digital skillsets, high cost, and security concerns are just some of the challenges that MSMEs face. By expanding the Technology Acceptance Model (TAM) to incorporate Perceived Threats and Risks (PTR), and Perceived Benefits and Opportunities (PBO), this study provides an improved perspective on how owners/staff at MSMEs perceive and react to AI acceptance. We collected data from 400 respondents across a wide spectrum of sectors to comprehend factors that help and hinder AI Adoption. The objective is to discover the most effective means to engage small businesses with AI </w:t>
      </w:r>
      <w:proofErr w:type="gramStart"/>
      <w:r w:rsidR="00C072F1" w:rsidRPr="00C072F1">
        <w:rPr>
          <w:rFonts w:ascii="Arial" w:hAnsi="Arial" w:cs="Arial"/>
          <w:sz w:val="20"/>
          <w:szCs w:val="20"/>
        </w:rPr>
        <w:t>usage, and</w:t>
      </w:r>
      <w:proofErr w:type="gramEnd"/>
      <w:r w:rsidR="00C072F1" w:rsidRPr="00C072F1">
        <w:rPr>
          <w:rFonts w:ascii="Arial" w:hAnsi="Arial" w:cs="Arial"/>
          <w:sz w:val="20"/>
          <w:szCs w:val="20"/>
        </w:rPr>
        <w:t xml:space="preserve"> assist them with remaining competitive in the digital age.</w:t>
      </w:r>
    </w:p>
    <w:p w14:paraId="646D1F86" w14:textId="77777777" w:rsidR="00CD7B0B" w:rsidRDefault="00CD7B0B" w:rsidP="00A51969">
      <w:pPr>
        <w:spacing w:after="0" w:line="240" w:lineRule="auto"/>
        <w:jc w:val="both"/>
        <w:rPr>
          <w:rFonts w:ascii="Arial" w:hAnsi="Arial" w:cs="Arial"/>
          <w:sz w:val="20"/>
          <w:szCs w:val="20"/>
        </w:rPr>
      </w:pPr>
    </w:p>
    <w:p w14:paraId="2916D2D5" w14:textId="725C9280"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 xml:space="preserve">Riswan Sianturi, Ikbar Firdaus and Uun Hariyanti. From Social Influence </w:t>
      </w:r>
      <w:proofErr w:type="gramStart"/>
      <w:r w:rsidRPr="00C072F1">
        <w:rPr>
          <w:rFonts w:ascii="Arial" w:hAnsi="Arial" w:cs="Arial"/>
          <w:sz w:val="20"/>
          <w:szCs w:val="20"/>
        </w:rPr>
        <w:t>to</w:t>
      </w:r>
      <w:proofErr w:type="gramEnd"/>
      <w:r w:rsidRPr="00C072F1">
        <w:rPr>
          <w:rFonts w:ascii="Arial" w:hAnsi="Arial" w:cs="Arial"/>
          <w:sz w:val="20"/>
          <w:szCs w:val="20"/>
        </w:rPr>
        <w:t xml:space="preserve"> Purchase Decision: The Mediating Role of Purchase Intention in Streamer Reviews, Virality, and Electronic Word of Mouth</w:t>
      </w:r>
    </w:p>
    <w:p w14:paraId="6BA2FF55" w14:textId="2ECFB8AF"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The rapid growth of social commerce has transformed how consumers evalu-ate and purchase experiential products online, particularly perfumes, where direct product inspection is impossible, and uncertainty is high. Despite ex-tensive research on Electronic Word of Mouth (eWOM), influencer market-ing, and viral content, existing studies remain fragmented and often examine these factors in isolation, creating a gap in an integrated understanding of how multiple digital social stimuli jointly shape consumer behavior. This study examines the impact of cross-platform digital content on perfume pur-chase decisions in e-commerce, with purchase intention serving as a key mediator. We found that streamer reviews, content virality, and eWOM sig-nificantly enhance purchase intention, which in turn has a strong influence on purchase decisions. Interestingly, while streamer reviews and eWOM had no significant direct effect, content virality did have a considerable effect. The key finding is that purchase intention crucially mediates the relationship between all these forms of digital content and actual purchase decisions. This highlights the importance of optimizing digital content strategies to convert interest into concrete purchases.</w:t>
      </w:r>
    </w:p>
    <w:p w14:paraId="6856DACF" w14:textId="77777777" w:rsidR="00CD7B0B" w:rsidRPr="0009073A" w:rsidRDefault="00CD7B0B" w:rsidP="00A51969">
      <w:pPr>
        <w:spacing w:after="0" w:line="240" w:lineRule="auto"/>
        <w:jc w:val="both"/>
        <w:rPr>
          <w:rFonts w:ascii="Arial" w:hAnsi="Arial" w:cs="Arial"/>
          <w:sz w:val="20"/>
          <w:szCs w:val="20"/>
          <w:lang w:val="en-US"/>
        </w:rPr>
      </w:pPr>
    </w:p>
    <w:p w14:paraId="672A446E" w14:textId="495F4E97"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lang w:val="sv-SE"/>
        </w:rPr>
        <w:t xml:space="preserve">Ekanaka Hasudungan Pratama, Evaristus Didik Madyatmadja and Hendry Hartono. </w:t>
      </w:r>
      <w:r w:rsidRPr="00C072F1">
        <w:rPr>
          <w:rFonts w:ascii="Arial" w:hAnsi="Arial" w:cs="Arial"/>
          <w:sz w:val="20"/>
          <w:szCs w:val="20"/>
        </w:rPr>
        <w:t>Measuring the Impact of Indonesian Public Fiscal Sentiment on Inflation and Exchange Rates: A Study using IndoBERT and OLS Regression</w:t>
      </w:r>
    </w:p>
    <w:p w14:paraId="5B902705" w14:textId="2929F204"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Fiscal policy announcements can serve as significant macro-economic indicators, yet the forecasting power of public sentiment on them are still an issue of discussion. This paper examines the effect of public opinion surrounding the "Makan Bergizi Gratis" (MBG) policy of the Indonesian government on the value of the Indonesian Rupiah (IDR) against the USD exchange rate and the inflation level. Using data from 29,965 tweets extracted from X from October 2024 to August 2025, next, analyzed using Indonesian BERT (IndoBERT) transformer model for identifying the mood indicators. Then these indicators are further analyzed using the Ordinary Least Square (OLS) regression method, whilst introducing other indicators as control. Findings of this study show that there is no statistically significant relation of the social media mood about the fiscal policy affecting the fluctuations of the IDR/USD exchange rate (P=0.360) or the inflation level (P=0.849). The result of this paper verifies the Efficient Market Hypothesis (EMH) in Indonesia. Hence "social media" is "noise" rather than a "leading" forecast method. This study concludes that the prediction techniques in Indonesia should rely more on the fundamental macro-economic variables rather than the unorganized discussion in the social media platforms.</w:t>
      </w:r>
    </w:p>
    <w:p w14:paraId="3001A9DF" w14:textId="77777777" w:rsidR="00CD7B0B" w:rsidRDefault="00CD7B0B" w:rsidP="00A51969">
      <w:pPr>
        <w:spacing w:after="0" w:line="240" w:lineRule="auto"/>
        <w:jc w:val="both"/>
        <w:rPr>
          <w:rFonts w:ascii="Arial" w:hAnsi="Arial" w:cs="Arial"/>
          <w:sz w:val="20"/>
          <w:szCs w:val="20"/>
        </w:rPr>
      </w:pPr>
    </w:p>
    <w:p w14:paraId="4435DCB5" w14:textId="67151CE0"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Marvin Kurniawan, Calvin Russel, Andrew Mikael and Linda Wedari. Environmental Management through Technological Dependency: The Role of GHG Intensity and ESG Performance in Firm Value Creation</w:t>
      </w:r>
    </w:p>
    <w:p w14:paraId="6160E930" w14:textId="45C8565E"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This study mainly investigates whether GHG intensity and environmental variables such as ESG score may affect firm value creation. GHG Intensity will be employed as outcome-based proxy to measure firms' technological dependency while enterprise value growth of firms to measure firms value creation. The top 4 of most pollutive sectors (basic materials, energy, industrials, and utilities) from the leading 6 carbon-emitting countries are the criteria for selection of the firms with the time frame 2017 until 2024. For the quantitative approach, the two-step system GMM method is used to address potential endogeneity issues. The results reveal a robust and significant positive relationship for GHG intensity towards firm value creation, suggesting GHG intensity might be perceived as higher technological dependency associated with large scale business activity. Additionally, the results of ESG performance have a significant negative relationship towards firm value creation, which may not impose that as ESG being value-reducing variable, but rather a short-term market pricing dynamics of a firm. The study offers new insights and provides empirical evidence for firms’ stakeholders amidst the significant increase in GHG emissions. Overall, the role of environmental management through technology </w:t>
      </w:r>
      <w:r w:rsidR="00C072F1" w:rsidRPr="00C072F1">
        <w:rPr>
          <w:rFonts w:ascii="Arial" w:hAnsi="Arial" w:cs="Arial"/>
          <w:sz w:val="20"/>
          <w:szCs w:val="20"/>
        </w:rPr>
        <w:lastRenderedPageBreak/>
        <w:t>dependency offers new opportunities for firms to align innovation and environmental goals, and shape sustainable business practices.</w:t>
      </w:r>
    </w:p>
    <w:p w14:paraId="5B3DE0D5" w14:textId="77777777" w:rsidR="00CD7B0B" w:rsidRDefault="00CD7B0B" w:rsidP="00A51969">
      <w:pPr>
        <w:spacing w:after="0" w:line="240" w:lineRule="auto"/>
        <w:jc w:val="both"/>
        <w:rPr>
          <w:rFonts w:ascii="Arial" w:hAnsi="Arial" w:cs="Arial"/>
          <w:sz w:val="20"/>
          <w:szCs w:val="20"/>
        </w:rPr>
      </w:pPr>
    </w:p>
    <w:p w14:paraId="5DDEC3AE" w14:textId="4ADEAA73"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Liancheng Zheng, Rizauddin Ramli, Nor Kamaliana Khamis, Mohamad Hazwan Mohd Ghazali and Amiri Mohammad Soleimani. Fuzzy PID-based Controller of Multi-joints Lower limb Exoskeleton Robot</w:t>
      </w:r>
    </w:p>
    <w:p w14:paraId="4605E3F8" w14:textId="4D84687F"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This study presents a fuzzy adaptive PID control algorithm to overcome the trajectory tracking problem of multi-joints lower-limb exoskeleton </w:t>
      </w:r>
      <w:proofErr w:type="gramStart"/>
      <w:r w:rsidR="00C072F1" w:rsidRPr="00C072F1">
        <w:rPr>
          <w:rFonts w:ascii="Arial" w:hAnsi="Arial" w:cs="Arial"/>
          <w:sz w:val="20"/>
          <w:szCs w:val="20"/>
        </w:rPr>
        <w:t>robots(</w:t>
      </w:r>
      <w:proofErr w:type="gramEnd"/>
      <w:r w:rsidR="00C072F1" w:rsidRPr="00C072F1">
        <w:rPr>
          <w:rFonts w:ascii="Arial" w:hAnsi="Arial" w:cs="Arial"/>
          <w:sz w:val="20"/>
          <w:szCs w:val="20"/>
        </w:rPr>
        <w:t xml:space="preserve">LLER) in strongly nonlinear, multi-disturbance environments. By inte-grating the advantages of fuzzy logic and PID control, the system dynamically adjusts the proportional, integral, and derivative parameters based on real-time error and error rate of change, significantly enhancing tracking compliance and robustness. The performance of the proposed fuzzy adaptive PID controller was simulated in MATLAB Simulink and compared to con-ventional controller. The results </w:t>
      </w:r>
      <w:proofErr w:type="gramStart"/>
      <w:r w:rsidR="00C072F1" w:rsidRPr="00C072F1">
        <w:rPr>
          <w:rFonts w:ascii="Arial" w:hAnsi="Arial" w:cs="Arial"/>
          <w:sz w:val="20"/>
          <w:szCs w:val="20"/>
        </w:rPr>
        <w:t>shows</w:t>
      </w:r>
      <w:proofErr w:type="gramEnd"/>
      <w:r w:rsidR="00C072F1" w:rsidRPr="00C072F1">
        <w:rPr>
          <w:rFonts w:ascii="Arial" w:hAnsi="Arial" w:cs="Arial"/>
          <w:sz w:val="20"/>
          <w:szCs w:val="20"/>
        </w:rPr>
        <w:t xml:space="preserve"> that the fuzzy adaptive PID control-ler keeps overshoot within ±2° at gait transition points better than conven-tional PID with overshoot more than 5° and effectively suppresses oscilla-tions while reducing steady-state error. The simulation findings ascertained that our proposed algorithm demonstrates superior performance under com-plex gait conditions and sudden disturbances. Future research should inte-grate reinforcement learning to optimize parameter adaptability and validate practicality on a physical platform.</w:t>
      </w:r>
    </w:p>
    <w:p w14:paraId="12495E7C" w14:textId="77777777" w:rsidR="00CD7B0B" w:rsidRDefault="00CD7B0B" w:rsidP="00A51969">
      <w:pPr>
        <w:spacing w:after="0" w:line="240" w:lineRule="auto"/>
        <w:jc w:val="both"/>
        <w:rPr>
          <w:rFonts w:ascii="Arial" w:hAnsi="Arial" w:cs="Arial"/>
          <w:sz w:val="20"/>
          <w:szCs w:val="20"/>
        </w:rPr>
      </w:pPr>
    </w:p>
    <w:p w14:paraId="6B07814D" w14:textId="6FE72A29"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Desi Derius and Erwin Halim. Designing of Academic System Enterprise Architecture Using TOGAF Framework: A Case of Indonesia Educational Foundation</w:t>
      </w:r>
    </w:p>
    <w:p w14:paraId="19F84982" w14:textId="69F88A50"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The rapid advancement of information technology has transformed the edu-cation landscape, forcing schools to embrace digital solutions to improve op-erational efficiency and learning quality. The central statistics bureau through a catalogue issued in April 2025, found a positive correlation be-tween the accessibility of educational facilities and the quality of education. The higher the accessibility to educational facilities, the better the quality of education achieved. Education Foundation X manages six school units, with mostly manual academic processes, beginning the digitalization process by designing an enterprise architecture (EA) using the TOGAF framework. This framework is highly relevant for building an integrated education system be-</w:t>
      </w:r>
      <w:proofErr w:type="gramStart"/>
      <w:r w:rsidR="00C072F1" w:rsidRPr="00C072F1">
        <w:rPr>
          <w:rFonts w:ascii="Arial" w:hAnsi="Arial" w:cs="Arial"/>
          <w:sz w:val="20"/>
          <w:szCs w:val="20"/>
        </w:rPr>
        <w:t>cause</w:t>
      </w:r>
      <w:proofErr w:type="gramEnd"/>
      <w:r w:rsidR="00C072F1" w:rsidRPr="00C072F1">
        <w:rPr>
          <w:rFonts w:ascii="Arial" w:hAnsi="Arial" w:cs="Arial"/>
          <w:sz w:val="20"/>
          <w:szCs w:val="20"/>
        </w:rPr>
        <w:t xml:space="preserve"> it provides a systematic methodology through the Architecture Devel-opment Method (ADM). Using a qualitative method, this study conducted interviews with key stakeholders - including Foundation Management, Head of Office, Head of IT Division, School Principal, Vice Principals for Curricu-lum, and School Operator - and carried out on-site observations across all units and the foundation’s office to gain an in-depth understanding of busi-ness processes and academic services. This EA's initiative successfully identi-fied critical gaps between the foundation’s current capabilities and its strate-gic performance objectives. This study proposes a new curriculum-centered business process and an integrated IT system blueprint to align academic services with long-term business goals, as a first step in digital transfor-mation in educational institutions.</w:t>
      </w:r>
    </w:p>
    <w:p w14:paraId="41996314" w14:textId="77777777" w:rsidR="00CD7B0B" w:rsidRPr="0009073A" w:rsidRDefault="00CD7B0B" w:rsidP="00A51969">
      <w:pPr>
        <w:spacing w:after="0" w:line="240" w:lineRule="auto"/>
        <w:jc w:val="both"/>
        <w:rPr>
          <w:rFonts w:ascii="Arial" w:hAnsi="Arial" w:cs="Arial"/>
          <w:sz w:val="20"/>
          <w:szCs w:val="20"/>
          <w:lang w:val="en-US"/>
        </w:rPr>
      </w:pPr>
    </w:p>
    <w:p w14:paraId="6528AE4E" w14:textId="23BA6AA1"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lang w:val="sv-SE"/>
        </w:rPr>
        <w:t xml:space="preserve">Nasywadara Farras Syakira, Muhamad Rafli, Adida Farros Ahmad and Erwin Halim. </w:t>
      </w:r>
      <w:r w:rsidRPr="00C072F1">
        <w:rPr>
          <w:rFonts w:ascii="Arial" w:hAnsi="Arial" w:cs="Arial"/>
          <w:sz w:val="20"/>
          <w:szCs w:val="20"/>
        </w:rPr>
        <w:t>Towards Real-Time Inventory Visibility: An RFID–IoT Conceptual Design for SMEs</w:t>
      </w:r>
    </w:p>
    <w:p w14:paraId="64B3DB5F" w14:textId="4F6C14A3"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Small and Medium Enterprises (SMEs) play an important role in economic growth, yet many still rely on manual inventory management practices that lead to data inaccuracies, delays, and inefficiencies. To address these challenges, this study proposes a conceptual design of a smart inventory system based on Radio Frequency Identification (RFID) and the Internet of Things (IoT). The proposed system integrates RFID-based item identification, microcontroller-based edge processing, cloud data synchronization, and a real-time monitoring dashboard to enable automated and accurate inventory management. The research adopts a conceptual system design and validation approach, supported by workflow modeling, architectural analysis, and comparison with established RFID–IoT implementations from prior studies. The results demonstrate that the proposed sensor–gateway–cloud architecture is theoretically valid, logically structured, and practically feasible for SME inventory operations. Conceptual testing indicates that the system has the potential to improve inventory accuracy, reduce manual workload, and provide real-time stock visibility compared to traditional manual methods. Overall, the proposed design offers a simple, scalable, and SME-friendly solution that supports efficient and data-driven inventory management.</w:t>
      </w:r>
    </w:p>
    <w:p w14:paraId="641BC9AC" w14:textId="77777777" w:rsidR="00CD7B0B" w:rsidRDefault="00CD7B0B" w:rsidP="00A51969">
      <w:pPr>
        <w:spacing w:after="0" w:line="240" w:lineRule="auto"/>
        <w:jc w:val="both"/>
        <w:rPr>
          <w:rFonts w:ascii="Arial" w:hAnsi="Arial" w:cs="Arial"/>
          <w:sz w:val="20"/>
          <w:szCs w:val="20"/>
        </w:rPr>
      </w:pPr>
    </w:p>
    <w:p w14:paraId="62F3C113" w14:textId="347ABFC5"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Charrence Josephine Setiawan, Erica Novita Chandra, Cheery Walesky and Erwin Halim. AI Agent for WhatsApp Order Fulfillment in Hardware and Material SMEs Using Agentic AI</w:t>
      </w:r>
    </w:p>
    <w:p w14:paraId="3C42CF84" w14:textId="10D50001"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Many Indonesian SMEs, especially in the Hardware and Building Material sectors, are facing difficulties in improving operational efficiency in today’s fast-paced digital landscape. The existing business processes are mostly done manually with minimal technological adoption, while involving various parties with limited human resources. This leads to slow response time, miscommunication, and order tracking errors, which result in customer dissatisfaction or wrong items delivered. Addressing these challenges, this study proposes that the use of an AI Agent can automate key business processes, eliminate human error, and enable a 24-hour response time through WhatsApp chat. A workflow prototype was developed using the n8n automation platform </w:t>
      </w:r>
      <w:r w:rsidR="00C072F1" w:rsidRPr="00C072F1">
        <w:rPr>
          <w:rFonts w:ascii="Arial" w:hAnsi="Arial" w:cs="Arial"/>
          <w:sz w:val="20"/>
          <w:szCs w:val="20"/>
        </w:rPr>
        <w:lastRenderedPageBreak/>
        <w:t>integrated with the WhatsApp Business API to handle customer inquiries, requests, and orders. Google Sheets and Google Drive both serve as the database for real-time synchronization of order information and stock availability. This system minimizes repetitive manual intervention while maintaining accuracy and operational transparency. Through qualitative analysis based on system testing, results show that the AI Agent reduces manual workload, shortens response time, and enhances communication accuracy. Ultimately, this research highlights how AI-driven automation can serve as a practical and scalable solution for SMEs, fostering digital transformation, improving productivity, and enabling more efficient resource management in resource-limited business environments.</w:t>
      </w:r>
    </w:p>
    <w:p w14:paraId="771400F3" w14:textId="77777777" w:rsidR="007A02FB" w:rsidRDefault="007A02FB" w:rsidP="00A51969">
      <w:pPr>
        <w:spacing w:after="0" w:line="240" w:lineRule="auto"/>
        <w:jc w:val="both"/>
        <w:rPr>
          <w:rFonts w:ascii="Arial" w:hAnsi="Arial" w:cs="Arial"/>
          <w:sz w:val="20"/>
          <w:szCs w:val="20"/>
        </w:rPr>
      </w:pPr>
    </w:p>
    <w:p w14:paraId="6A1FDE15" w14:textId="7974209C"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Angelina Jessica Pratiwi, Nandito Adrian Reswara, Redondo Delve Chow and Erwin Halim. The Impact of Risk, Self-Efficacy, and Social Factors on the Adoption and Use of Healthy Lifestyle Applications</w:t>
      </w:r>
    </w:p>
    <w:p w14:paraId="5506AEE3" w14:textId="51F70E5D"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This study investigates how age moderates the relationships among</w:t>
      </w:r>
      <w:r w:rsidR="007A02FB">
        <w:rPr>
          <w:rFonts w:ascii="Arial" w:hAnsi="Arial" w:cs="Arial"/>
          <w:sz w:val="20"/>
          <w:szCs w:val="20"/>
        </w:rPr>
        <w:t xml:space="preserve"> </w:t>
      </w:r>
      <w:r w:rsidR="00C072F1" w:rsidRPr="00C072F1">
        <w:rPr>
          <w:rFonts w:ascii="Arial" w:hAnsi="Arial" w:cs="Arial"/>
          <w:sz w:val="20"/>
          <w:szCs w:val="20"/>
        </w:rPr>
        <w:t>perceived risk, technology self-efficacy, health consciousness, social influence,</w:t>
      </w:r>
      <w:r w:rsidR="007A02FB">
        <w:rPr>
          <w:rFonts w:ascii="Arial" w:hAnsi="Arial" w:cs="Arial"/>
          <w:sz w:val="20"/>
          <w:szCs w:val="20"/>
        </w:rPr>
        <w:t xml:space="preserve"> </w:t>
      </w:r>
      <w:r w:rsidR="00C072F1" w:rsidRPr="00C072F1">
        <w:rPr>
          <w:rFonts w:ascii="Arial" w:hAnsi="Arial" w:cs="Arial"/>
          <w:sz w:val="20"/>
          <w:szCs w:val="20"/>
        </w:rPr>
        <w:t>and the intention to use and the actual use of healthy lifestyle applications in</w:t>
      </w:r>
      <w:r w:rsidR="007A02FB">
        <w:rPr>
          <w:rFonts w:ascii="Arial" w:hAnsi="Arial" w:cs="Arial"/>
          <w:sz w:val="20"/>
          <w:szCs w:val="20"/>
        </w:rPr>
        <w:t xml:space="preserve"> </w:t>
      </w:r>
      <w:r w:rsidR="00C072F1" w:rsidRPr="00C072F1">
        <w:rPr>
          <w:rFonts w:ascii="Arial" w:hAnsi="Arial" w:cs="Arial"/>
          <w:sz w:val="20"/>
          <w:szCs w:val="20"/>
        </w:rPr>
        <w:t>Indonesia. Grounded in an integrated UTAUT2–TAM framework, this research</w:t>
      </w:r>
      <w:r w:rsidR="007A02FB">
        <w:rPr>
          <w:rFonts w:ascii="Arial" w:hAnsi="Arial" w:cs="Arial"/>
          <w:sz w:val="20"/>
          <w:szCs w:val="20"/>
        </w:rPr>
        <w:t xml:space="preserve"> </w:t>
      </w:r>
      <w:r w:rsidR="00C072F1" w:rsidRPr="00C072F1">
        <w:rPr>
          <w:rFonts w:ascii="Arial" w:hAnsi="Arial" w:cs="Arial"/>
          <w:sz w:val="20"/>
          <w:szCs w:val="20"/>
        </w:rPr>
        <w:t>employs a quantitative PLS-SEM approach with 100 valid respondents from the</w:t>
      </w:r>
      <w:r w:rsidR="007A02FB">
        <w:rPr>
          <w:rFonts w:ascii="Arial" w:hAnsi="Arial" w:cs="Arial"/>
          <w:sz w:val="20"/>
          <w:szCs w:val="20"/>
        </w:rPr>
        <w:t xml:space="preserve"> </w:t>
      </w:r>
      <w:r w:rsidR="00C072F1" w:rsidRPr="00C072F1">
        <w:rPr>
          <w:rFonts w:ascii="Arial" w:hAnsi="Arial" w:cs="Arial"/>
          <w:sz w:val="20"/>
          <w:szCs w:val="20"/>
        </w:rPr>
        <w:t>Jabodetabek region. The findings demonstrate that technology self-efficacy,</w:t>
      </w:r>
      <w:r w:rsidR="007A02FB">
        <w:rPr>
          <w:rFonts w:ascii="Arial" w:hAnsi="Arial" w:cs="Arial"/>
          <w:sz w:val="20"/>
          <w:szCs w:val="20"/>
        </w:rPr>
        <w:t xml:space="preserve"> </w:t>
      </w:r>
      <w:r w:rsidR="00C072F1" w:rsidRPr="00C072F1">
        <w:rPr>
          <w:rFonts w:ascii="Arial" w:hAnsi="Arial" w:cs="Arial"/>
          <w:sz w:val="20"/>
          <w:szCs w:val="20"/>
        </w:rPr>
        <w:t>health consciousness, and social influence exert significant, positive effects on</w:t>
      </w:r>
      <w:r w:rsidR="007A02FB">
        <w:rPr>
          <w:rFonts w:ascii="Arial" w:hAnsi="Arial" w:cs="Arial"/>
          <w:sz w:val="20"/>
          <w:szCs w:val="20"/>
        </w:rPr>
        <w:t xml:space="preserve"> </w:t>
      </w:r>
      <w:r w:rsidR="00C072F1" w:rsidRPr="00C072F1">
        <w:rPr>
          <w:rFonts w:ascii="Arial" w:hAnsi="Arial" w:cs="Arial"/>
          <w:sz w:val="20"/>
          <w:szCs w:val="20"/>
        </w:rPr>
        <w:t>users’ intention to adopt healthy lifestyle applications, which, in turn, influences</w:t>
      </w:r>
      <w:r w:rsidR="007A02FB">
        <w:rPr>
          <w:rFonts w:ascii="Arial" w:hAnsi="Arial" w:cs="Arial"/>
          <w:sz w:val="20"/>
          <w:szCs w:val="20"/>
        </w:rPr>
        <w:t xml:space="preserve"> </w:t>
      </w:r>
      <w:r w:rsidR="00C072F1" w:rsidRPr="00C072F1">
        <w:rPr>
          <w:rFonts w:ascii="Arial" w:hAnsi="Arial" w:cs="Arial"/>
          <w:sz w:val="20"/>
          <w:szCs w:val="20"/>
        </w:rPr>
        <w:t>actual usage behavior. Conversely, perceived risk does not significantly affect</w:t>
      </w:r>
      <w:r w:rsidR="007A02FB">
        <w:rPr>
          <w:rFonts w:ascii="Arial" w:hAnsi="Arial" w:cs="Arial"/>
          <w:sz w:val="20"/>
          <w:szCs w:val="20"/>
        </w:rPr>
        <w:t xml:space="preserve"> </w:t>
      </w:r>
      <w:r w:rsidR="00C072F1" w:rsidRPr="00C072F1">
        <w:rPr>
          <w:rFonts w:ascii="Arial" w:hAnsi="Arial" w:cs="Arial"/>
          <w:sz w:val="20"/>
          <w:szCs w:val="20"/>
        </w:rPr>
        <w:t>behavioral intention, suggesting that concerns related to privacy, data security, or</w:t>
      </w:r>
      <w:r w:rsidR="007A02FB">
        <w:rPr>
          <w:rFonts w:ascii="Arial" w:hAnsi="Arial" w:cs="Arial"/>
          <w:sz w:val="20"/>
          <w:szCs w:val="20"/>
        </w:rPr>
        <w:t xml:space="preserve"> </w:t>
      </w:r>
      <w:r w:rsidR="00C072F1" w:rsidRPr="00C072F1">
        <w:rPr>
          <w:rFonts w:ascii="Arial" w:hAnsi="Arial" w:cs="Arial"/>
          <w:sz w:val="20"/>
          <w:szCs w:val="20"/>
        </w:rPr>
        <w:t>system reliability are not strong enough to deter users from adopting such applications. Furthermore, age is shown to moderate the relative importance of these</w:t>
      </w:r>
      <w:r w:rsidR="007A02FB">
        <w:rPr>
          <w:rFonts w:ascii="Arial" w:hAnsi="Arial" w:cs="Arial"/>
          <w:sz w:val="20"/>
          <w:szCs w:val="20"/>
        </w:rPr>
        <w:t xml:space="preserve"> </w:t>
      </w:r>
      <w:r w:rsidR="00C072F1" w:rsidRPr="00C072F1">
        <w:rPr>
          <w:rFonts w:ascii="Arial" w:hAnsi="Arial" w:cs="Arial"/>
          <w:sz w:val="20"/>
          <w:szCs w:val="20"/>
        </w:rPr>
        <w:t>determinants. Younger individuals tend to be more responsive to socially driven</w:t>
      </w:r>
      <w:r w:rsidR="007A02FB">
        <w:rPr>
          <w:rFonts w:ascii="Arial" w:hAnsi="Arial" w:cs="Arial"/>
          <w:sz w:val="20"/>
          <w:szCs w:val="20"/>
        </w:rPr>
        <w:t xml:space="preserve"> </w:t>
      </w:r>
      <w:r w:rsidR="00C072F1" w:rsidRPr="00C072F1">
        <w:rPr>
          <w:rFonts w:ascii="Arial" w:hAnsi="Arial" w:cs="Arial"/>
          <w:sz w:val="20"/>
          <w:szCs w:val="20"/>
        </w:rPr>
        <w:t>and interactive features, whereas older adults prioritize dependability, clarity, and perceived safety when engaging with digital health technologies. These findings</w:t>
      </w:r>
      <w:r w:rsidR="007A02FB">
        <w:rPr>
          <w:rFonts w:ascii="Arial" w:hAnsi="Arial" w:cs="Arial"/>
          <w:sz w:val="20"/>
          <w:szCs w:val="20"/>
        </w:rPr>
        <w:t xml:space="preserve"> </w:t>
      </w:r>
      <w:r w:rsidR="00C072F1" w:rsidRPr="00C072F1">
        <w:rPr>
          <w:rFonts w:ascii="Arial" w:hAnsi="Arial" w:cs="Arial"/>
          <w:sz w:val="20"/>
          <w:szCs w:val="20"/>
        </w:rPr>
        <w:t>highlight the importance of designing age-responsive and inclusive digital health</w:t>
      </w:r>
      <w:r w:rsidR="007A02FB">
        <w:rPr>
          <w:rFonts w:ascii="Arial" w:hAnsi="Arial" w:cs="Arial"/>
          <w:sz w:val="20"/>
          <w:szCs w:val="20"/>
        </w:rPr>
        <w:t xml:space="preserve"> </w:t>
      </w:r>
      <w:r w:rsidR="00C072F1" w:rsidRPr="00C072F1">
        <w:rPr>
          <w:rFonts w:ascii="Arial" w:hAnsi="Arial" w:cs="Arial"/>
          <w:sz w:val="20"/>
          <w:szCs w:val="20"/>
        </w:rPr>
        <w:t xml:space="preserve">ecosystems. The study provides evidence-based implications for </w:t>
      </w:r>
      <w:proofErr w:type="gramStart"/>
      <w:r w:rsidR="00C072F1" w:rsidRPr="00C072F1">
        <w:rPr>
          <w:rFonts w:ascii="Arial" w:hAnsi="Arial" w:cs="Arial"/>
          <w:sz w:val="20"/>
          <w:szCs w:val="20"/>
        </w:rPr>
        <w:t>policy-makers</w:t>
      </w:r>
      <w:proofErr w:type="gramEnd"/>
      <w:r w:rsidR="007A02FB">
        <w:rPr>
          <w:rFonts w:ascii="Arial" w:hAnsi="Arial" w:cs="Arial"/>
          <w:sz w:val="20"/>
          <w:szCs w:val="20"/>
        </w:rPr>
        <w:t xml:space="preserve"> </w:t>
      </w:r>
      <w:r w:rsidR="00C072F1" w:rsidRPr="00C072F1">
        <w:rPr>
          <w:rFonts w:ascii="Arial" w:hAnsi="Arial" w:cs="Arial"/>
          <w:sz w:val="20"/>
          <w:szCs w:val="20"/>
        </w:rPr>
        <w:t>and application developers aiming to strengthen digital health adoption and minimize intergenerational disparities</w:t>
      </w:r>
    </w:p>
    <w:p w14:paraId="5BF8CC92" w14:textId="77777777" w:rsidR="007A02FB" w:rsidRDefault="007A02FB" w:rsidP="00A51969">
      <w:pPr>
        <w:spacing w:after="0" w:line="240" w:lineRule="auto"/>
        <w:jc w:val="both"/>
        <w:rPr>
          <w:rFonts w:ascii="Arial" w:hAnsi="Arial" w:cs="Arial"/>
          <w:sz w:val="20"/>
          <w:szCs w:val="20"/>
        </w:rPr>
      </w:pPr>
    </w:p>
    <w:p w14:paraId="7C702F6D" w14:textId="6192E8C6"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Muhammad Haikal Baihaqi, Andi Reza Perdanakusuma and Riswan Septriayadi Sianturi. Applying Social Cognitive Theory to Understand Prompt Engineering Strategies Among Backend Engineers</w:t>
      </w:r>
    </w:p>
    <w:p w14:paraId="64006FD4" w14:textId="22E88D90"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The use of Large Language Models (LLMs) has significantly changed</w:t>
      </w:r>
      <w:r w:rsidR="00827712">
        <w:rPr>
          <w:rFonts w:ascii="Arial" w:hAnsi="Arial" w:cs="Arial"/>
          <w:sz w:val="20"/>
          <w:szCs w:val="20"/>
        </w:rPr>
        <w:t xml:space="preserve"> </w:t>
      </w:r>
      <w:r w:rsidR="00C072F1" w:rsidRPr="00C072F1">
        <w:rPr>
          <w:rFonts w:ascii="Arial" w:hAnsi="Arial" w:cs="Arial"/>
          <w:sz w:val="20"/>
          <w:szCs w:val="20"/>
        </w:rPr>
        <w:t>the landscape of software engineering, but the effectiveness of their use relies</w:t>
      </w:r>
      <w:r w:rsidR="00827712">
        <w:rPr>
          <w:rFonts w:ascii="Arial" w:hAnsi="Arial" w:cs="Arial"/>
          <w:sz w:val="20"/>
          <w:szCs w:val="20"/>
        </w:rPr>
        <w:t xml:space="preserve"> </w:t>
      </w:r>
      <w:r w:rsidR="00C072F1" w:rsidRPr="00C072F1">
        <w:rPr>
          <w:rFonts w:ascii="Arial" w:hAnsi="Arial" w:cs="Arial"/>
          <w:sz w:val="20"/>
          <w:szCs w:val="20"/>
        </w:rPr>
        <w:t>heavily on prompt engineering proficiency. Current research tends to focus on</w:t>
      </w:r>
      <w:r w:rsidR="00827712">
        <w:rPr>
          <w:rFonts w:ascii="Arial" w:hAnsi="Arial" w:cs="Arial"/>
          <w:sz w:val="20"/>
          <w:szCs w:val="20"/>
        </w:rPr>
        <w:t xml:space="preserve"> </w:t>
      </w:r>
      <w:r w:rsidR="00C072F1" w:rsidRPr="00C072F1">
        <w:rPr>
          <w:rFonts w:ascii="Arial" w:hAnsi="Arial" w:cs="Arial"/>
          <w:sz w:val="20"/>
          <w:szCs w:val="20"/>
        </w:rPr>
        <w:t>the technical outcomes of AI prompting and often ignores the underlying</w:t>
      </w:r>
      <w:r w:rsidR="00827712">
        <w:rPr>
          <w:rFonts w:ascii="Arial" w:hAnsi="Arial" w:cs="Arial"/>
          <w:sz w:val="20"/>
          <w:szCs w:val="20"/>
        </w:rPr>
        <w:t xml:space="preserve"> </w:t>
      </w:r>
      <w:r w:rsidR="00C072F1" w:rsidRPr="00C072F1">
        <w:rPr>
          <w:rFonts w:ascii="Arial" w:hAnsi="Arial" w:cs="Arial"/>
          <w:sz w:val="20"/>
          <w:szCs w:val="20"/>
        </w:rPr>
        <w:t>cognitive processes of users. This study aims to explore how prompt engineering</w:t>
      </w:r>
      <w:r w:rsidR="00827712">
        <w:rPr>
          <w:rFonts w:ascii="Arial" w:hAnsi="Arial" w:cs="Arial"/>
          <w:sz w:val="20"/>
          <w:szCs w:val="20"/>
        </w:rPr>
        <w:t xml:space="preserve"> </w:t>
      </w:r>
      <w:r w:rsidR="00C072F1" w:rsidRPr="00C072F1">
        <w:rPr>
          <w:rFonts w:ascii="Arial" w:hAnsi="Arial" w:cs="Arial"/>
          <w:sz w:val="20"/>
          <w:szCs w:val="20"/>
        </w:rPr>
        <w:t>strategies are applied and map the cognitive processes of backend engineers in</w:t>
      </w:r>
      <w:r w:rsidR="00827712">
        <w:rPr>
          <w:rFonts w:ascii="Arial" w:hAnsi="Arial" w:cs="Arial"/>
          <w:sz w:val="20"/>
          <w:szCs w:val="20"/>
        </w:rPr>
        <w:t xml:space="preserve"> </w:t>
      </w:r>
      <w:r w:rsidR="00C072F1" w:rsidRPr="00C072F1">
        <w:rPr>
          <w:rFonts w:ascii="Arial" w:hAnsi="Arial" w:cs="Arial"/>
          <w:sz w:val="20"/>
          <w:szCs w:val="20"/>
        </w:rPr>
        <w:t>interacting with LLMs using the Social Cognitive Theory (SCT) framework. The</w:t>
      </w:r>
      <w:r w:rsidR="00827712">
        <w:rPr>
          <w:rFonts w:ascii="Arial" w:hAnsi="Arial" w:cs="Arial"/>
          <w:sz w:val="20"/>
          <w:szCs w:val="20"/>
        </w:rPr>
        <w:t xml:space="preserve"> </w:t>
      </w:r>
      <w:r w:rsidR="00C072F1" w:rsidRPr="00C072F1">
        <w:rPr>
          <w:rFonts w:ascii="Arial" w:hAnsi="Arial" w:cs="Arial"/>
          <w:sz w:val="20"/>
          <w:szCs w:val="20"/>
        </w:rPr>
        <w:t>data of this research was collected using a qualitative approach with the Think-Aloud Protocol method from participants who solved tiered programming</w:t>
      </w:r>
      <w:r w:rsidR="00827712">
        <w:rPr>
          <w:rFonts w:ascii="Arial" w:hAnsi="Arial" w:cs="Arial"/>
          <w:sz w:val="20"/>
          <w:szCs w:val="20"/>
        </w:rPr>
        <w:t xml:space="preserve"> </w:t>
      </w:r>
      <w:r w:rsidR="00C072F1" w:rsidRPr="00C072F1">
        <w:rPr>
          <w:rFonts w:ascii="Arial" w:hAnsi="Arial" w:cs="Arial"/>
          <w:sz w:val="20"/>
          <w:szCs w:val="20"/>
        </w:rPr>
        <w:t>challenges (Easy, Medium, Hard) mimicking real life scenarios. The data</w:t>
      </w:r>
      <w:r w:rsidR="00827712">
        <w:rPr>
          <w:rFonts w:ascii="Arial" w:hAnsi="Arial" w:cs="Arial"/>
          <w:sz w:val="20"/>
          <w:szCs w:val="20"/>
        </w:rPr>
        <w:t xml:space="preserve"> </w:t>
      </w:r>
      <w:r w:rsidR="00C072F1" w:rsidRPr="00C072F1">
        <w:rPr>
          <w:rFonts w:ascii="Arial" w:hAnsi="Arial" w:cs="Arial"/>
          <w:sz w:val="20"/>
          <w:szCs w:val="20"/>
        </w:rPr>
        <w:t>analysis followed an iterative qualitative process, beginning with the</w:t>
      </w:r>
      <w:r w:rsidR="00827712">
        <w:rPr>
          <w:rFonts w:ascii="Arial" w:hAnsi="Arial" w:cs="Arial"/>
          <w:sz w:val="20"/>
          <w:szCs w:val="20"/>
        </w:rPr>
        <w:t xml:space="preserve"> </w:t>
      </w:r>
      <w:r w:rsidR="00C072F1" w:rsidRPr="00C072F1">
        <w:rPr>
          <w:rFonts w:ascii="Arial" w:hAnsi="Arial" w:cs="Arial"/>
          <w:sz w:val="20"/>
          <w:szCs w:val="20"/>
        </w:rPr>
        <w:t>transcription of audio recordings, followed by multi-stage thematic coding. This</w:t>
      </w:r>
      <w:r w:rsidR="00827712">
        <w:rPr>
          <w:rFonts w:ascii="Arial" w:hAnsi="Arial" w:cs="Arial"/>
          <w:sz w:val="20"/>
          <w:szCs w:val="20"/>
        </w:rPr>
        <w:t xml:space="preserve"> </w:t>
      </w:r>
      <w:r w:rsidR="00C072F1" w:rsidRPr="00C072F1">
        <w:rPr>
          <w:rFonts w:ascii="Arial" w:hAnsi="Arial" w:cs="Arial"/>
          <w:sz w:val="20"/>
          <w:szCs w:val="20"/>
        </w:rPr>
        <w:t>involved an initial open coding phase to identify emerging behaviors, which were</w:t>
      </w:r>
      <w:r w:rsidR="00827712">
        <w:rPr>
          <w:rFonts w:ascii="Arial" w:hAnsi="Arial" w:cs="Arial"/>
          <w:sz w:val="20"/>
          <w:szCs w:val="20"/>
        </w:rPr>
        <w:t xml:space="preserve"> </w:t>
      </w:r>
      <w:r w:rsidR="00C072F1" w:rsidRPr="00C072F1">
        <w:rPr>
          <w:rFonts w:ascii="Arial" w:hAnsi="Arial" w:cs="Arial"/>
          <w:sz w:val="20"/>
          <w:szCs w:val="20"/>
        </w:rPr>
        <w:t>then iteratively refined through axial coding to align with SCT dimensions:</w:t>
      </w:r>
      <w:r w:rsidR="00827712">
        <w:rPr>
          <w:rFonts w:ascii="Arial" w:hAnsi="Arial" w:cs="Arial"/>
          <w:sz w:val="20"/>
          <w:szCs w:val="20"/>
        </w:rPr>
        <w:t xml:space="preserve"> </w:t>
      </w:r>
      <w:r w:rsidR="00C072F1" w:rsidRPr="00C072F1">
        <w:rPr>
          <w:rFonts w:ascii="Arial" w:hAnsi="Arial" w:cs="Arial"/>
          <w:sz w:val="20"/>
          <w:szCs w:val="20"/>
        </w:rPr>
        <w:t>personal, behavioral, and environmental factors. Iterative comparative analysis</w:t>
      </w:r>
      <w:r w:rsidR="00827712">
        <w:rPr>
          <w:rFonts w:ascii="Arial" w:hAnsi="Arial" w:cs="Arial"/>
          <w:sz w:val="20"/>
          <w:szCs w:val="20"/>
        </w:rPr>
        <w:t xml:space="preserve"> </w:t>
      </w:r>
      <w:r w:rsidR="00C072F1" w:rsidRPr="00C072F1">
        <w:rPr>
          <w:rFonts w:ascii="Arial" w:hAnsi="Arial" w:cs="Arial"/>
          <w:sz w:val="20"/>
          <w:szCs w:val="20"/>
        </w:rPr>
        <w:t>was employed to ensure consistency between the transcribed thoughts and the</w:t>
      </w:r>
      <w:r w:rsidR="00827712">
        <w:rPr>
          <w:rFonts w:ascii="Arial" w:hAnsi="Arial" w:cs="Arial"/>
          <w:sz w:val="20"/>
          <w:szCs w:val="20"/>
        </w:rPr>
        <w:t xml:space="preserve"> </w:t>
      </w:r>
      <w:r w:rsidR="00C072F1" w:rsidRPr="00C072F1">
        <w:rPr>
          <w:rFonts w:ascii="Arial" w:hAnsi="Arial" w:cs="Arial"/>
          <w:sz w:val="20"/>
          <w:szCs w:val="20"/>
        </w:rPr>
        <w:t>recorded prompt sequences. The results revealed two contrasting patterns: the</w:t>
      </w:r>
      <w:r w:rsidR="00827712">
        <w:rPr>
          <w:rFonts w:ascii="Arial" w:hAnsi="Arial" w:cs="Arial"/>
          <w:sz w:val="20"/>
          <w:szCs w:val="20"/>
        </w:rPr>
        <w:t xml:space="preserve"> </w:t>
      </w:r>
      <w:r w:rsidR="00C072F1" w:rsidRPr="00C072F1">
        <w:rPr>
          <w:rFonts w:ascii="Arial" w:hAnsi="Arial" w:cs="Arial"/>
          <w:sz w:val="20"/>
          <w:szCs w:val="20"/>
        </w:rPr>
        <w:t>"Investigation" strategy in the advanced group characterized by active self-</w:t>
      </w:r>
      <w:r w:rsidR="00827712">
        <w:rPr>
          <w:rFonts w:ascii="Arial" w:hAnsi="Arial" w:cs="Arial"/>
          <w:sz w:val="20"/>
          <w:szCs w:val="20"/>
        </w:rPr>
        <w:t xml:space="preserve"> </w:t>
      </w:r>
      <w:r w:rsidR="00C072F1" w:rsidRPr="00C072F1">
        <w:rPr>
          <w:rFonts w:ascii="Arial" w:hAnsi="Arial" w:cs="Arial"/>
          <w:sz w:val="20"/>
          <w:szCs w:val="20"/>
        </w:rPr>
        <w:t>regulation and mental simulation; and "Direct Execution" strategies in less skilled</w:t>
      </w:r>
      <w:r w:rsidR="00827712">
        <w:rPr>
          <w:rFonts w:ascii="Arial" w:hAnsi="Arial" w:cs="Arial"/>
          <w:sz w:val="20"/>
          <w:szCs w:val="20"/>
        </w:rPr>
        <w:t xml:space="preserve"> </w:t>
      </w:r>
      <w:r w:rsidR="00C072F1" w:rsidRPr="00C072F1">
        <w:rPr>
          <w:rFonts w:ascii="Arial" w:hAnsi="Arial" w:cs="Arial"/>
          <w:sz w:val="20"/>
          <w:szCs w:val="20"/>
        </w:rPr>
        <w:t>groups that tend to hand over the cognitive burden entirely to AI. The findings</w:t>
      </w:r>
      <w:r w:rsidR="00827712">
        <w:rPr>
          <w:rFonts w:ascii="Arial" w:hAnsi="Arial" w:cs="Arial"/>
          <w:sz w:val="20"/>
          <w:szCs w:val="20"/>
        </w:rPr>
        <w:t xml:space="preserve"> </w:t>
      </w:r>
      <w:r w:rsidR="00C072F1" w:rsidRPr="00C072F1">
        <w:rPr>
          <w:rFonts w:ascii="Arial" w:hAnsi="Arial" w:cs="Arial"/>
          <w:sz w:val="20"/>
          <w:szCs w:val="20"/>
        </w:rPr>
        <w:t>highlight an "automation-augmentation paradox" where faster processing in less</w:t>
      </w:r>
      <w:r w:rsidR="00827712">
        <w:rPr>
          <w:rFonts w:ascii="Arial" w:hAnsi="Arial" w:cs="Arial"/>
          <w:sz w:val="20"/>
          <w:szCs w:val="20"/>
        </w:rPr>
        <w:t xml:space="preserve"> </w:t>
      </w:r>
      <w:r w:rsidR="00C072F1" w:rsidRPr="00C072F1">
        <w:rPr>
          <w:rFonts w:ascii="Arial" w:hAnsi="Arial" w:cs="Arial"/>
          <w:sz w:val="20"/>
          <w:szCs w:val="20"/>
        </w:rPr>
        <w:t>proficient groups correlates with decreased logic validity. The study concludes</w:t>
      </w:r>
      <w:r w:rsidR="00827712">
        <w:rPr>
          <w:rFonts w:ascii="Arial" w:hAnsi="Arial" w:cs="Arial"/>
          <w:sz w:val="20"/>
          <w:szCs w:val="20"/>
        </w:rPr>
        <w:t xml:space="preserve"> </w:t>
      </w:r>
      <w:r w:rsidR="00C072F1" w:rsidRPr="00C072F1">
        <w:rPr>
          <w:rFonts w:ascii="Arial" w:hAnsi="Arial" w:cs="Arial"/>
          <w:sz w:val="20"/>
          <w:szCs w:val="20"/>
        </w:rPr>
        <w:t>that proficiency is determined by the quality of self-regulation in maintaining</w:t>
      </w:r>
      <w:r w:rsidR="00827712">
        <w:rPr>
          <w:rFonts w:ascii="Arial" w:hAnsi="Arial" w:cs="Arial"/>
          <w:sz w:val="20"/>
          <w:szCs w:val="20"/>
        </w:rPr>
        <w:t xml:space="preserve"> </w:t>
      </w:r>
      <w:r w:rsidR="00C072F1" w:rsidRPr="00C072F1">
        <w:rPr>
          <w:rFonts w:ascii="Arial" w:hAnsi="Arial" w:cs="Arial"/>
          <w:sz w:val="20"/>
          <w:szCs w:val="20"/>
        </w:rPr>
        <w:t>cognitive authority over passive automation.</w:t>
      </w:r>
    </w:p>
    <w:p w14:paraId="7A0477F7" w14:textId="77777777" w:rsidR="00827712" w:rsidRPr="0009073A" w:rsidRDefault="00827712" w:rsidP="00A51969">
      <w:pPr>
        <w:spacing w:after="0" w:line="240" w:lineRule="auto"/>
        <w:jc w:val="both"/>
        <w:rPr>
          <w:rFonts w:ascii="Arial" w:hAnsi="Arial" w:cs="Arial"/>
          <w:sz w:val="20"/>
          <w:szCs w:val="20"/>
          <w:lang w:val="en-US"/>
        </w:rPr>
      </w:pPr>
    </w:p>
    <w:p w14:paraId="7FCF13B9" w14:textId="28BD1CBE"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lang w:val="sv-SE"/>
        </w:rPr>
        <w:t xml:space="preserve">Muhammad Rivaro Farrelino Gozali, Dwija Wisnu Brata and Tibyani Tibyani. </w:t>
      </w:r>
      <w:r w:rsidRPr="00C072F1">
        <w:rPr>
          <w:rFonts w:ascii="Arial" w:hAnsi="Arial" w:cs="Arial"/>
          <w:sz w:val="20"/>
          <w:szCs w:val="20"/>
        </w:rPr>
        <w:t>SENTIMENT ANALYSIS OF TWITTER/X USERS TOWARD THE #KABURAJADULU PHENOMENON USING SUPPORT VECTOR MACHINE AND INDOBERT EMBEDDING</w:t>
      </w:r>
    </w:p>
    <w:p w14:paraId="46348CC7" w14:textId="5B091DD6"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The hashtag phenomenon #KaburAjaDulu on the Twitter/X platform reflects the growing anxiety among young generations regarding life pressures, economic uncertainty, and unhealthy work environments in the modern era. This study aims to analyze public perceptions of the phenomenon through a sentiment analysis approach based on Natural Language Processing (NLP), combining IndoBERT as a contextual embedding method and Support Vector Machine (SVM) as a classification algorithm. The dataset consists of 12,353 Indonesian language public tweets containing the hashtag #KaburAjaDulu, collected using the TweetHarvest tool between October 1, 2024, and August 30, 2025. The data were preprocessed through text cleaning, slang normalization, and lemmatization, then labeled using </w:t>
      </w:r>
      <w:proofErr w:type="gramStart"/>
      <w:r w:rsidR="00C072F1" w:rsidRPr="00C072F1">
        <w:rPr>
          <w:rFonts w:ascii="Arial" w:hAnsi="Arial" w:cs="Arial"/>
          <w:sz w:val="20"/>
          <w:szCs w:val="20"/>
        </w:rPr>
        <w:t>a</w:t>
      </w:r>
      <w:proofErr w:type="gramEnd"/>
      <w:r w:rsidR="00C072F1" w:rsidRPr="00C072F1">
        <w:rPr>
          <w:rFonts w:ascii="Arial" w:hAnsi="Arial" w:cs="Arial"/>
          <w:sz w:val="20"/>
          <w:szCs w:val="20"/>
        </w:rPr>
        <w:t xml:space="preserve"> automatic labelling method with the IndoBERTweet model validated by three independent validators to ensure labeling consistency. The results show that the combination of IndoBERT and SVM with a Linear kernel achieved the best performance, with an accuracy of 95.91%, a weighted F1-score of 0.9581, and a macro F1-score of 0.8870 using a 70% training and 30% testing </w:t>
      </w:r>
      <w:r w:rsidR="00C072F1" w:rsidRPr="00C072F1">
        <w:rPr>
          <w:rFonts w:ascii="Arial" w:hAnsi="Arial" w:cs="Arial"/>
          <w:sz w:val="20"/>
          <w:szCs w:val="20"/>
        </w:rPr>
        <w:lastRenderedPageBreak/>
        <w:t>data split. Sentiment analysis revealed that 77.30% of the tweets expressed negative sentiment, reflecting the dominance of fatigue and dissatisfaction toward Indonesia’s socio-economic conditions. These findings demonstrate the effectiveness of the combined IndoBERT and SVM approach in analyzing Indonesian-language social media sentiment, while also providing empirical and contextual insights into patterns of public perception and emotional dynamics in digital spaces.</w:t>
      </w:r>
    </w:p>
    <w:p w14:paraId="6C6F8071" w14:textId="77777777" w:rsidR="00DB2E71" w:rsidRDefault="00DB2E71" w:rsidP="00A51969">
      <w:pPr>
        <w:spacing w:after="0" w:line="240" w:lineRule="auto"/>
        <w:jc w:val="both"/>
        <w:rPr>
          <w:rFonts w:ascii="Arial" w:hAnsi="Arial" w:cs="Arial"/>
          <w:sz w:val="20"/>
          <w:szCs w:val="20"/>
        </w:rPr>
      </w:pPr>
    </w:p>
    <w:p w14:paraId="69098FC6" w14:textId="5D1AE928"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Arvenio Souhoka and Erwin Halim. Determinants of Generation Z’s Behavioral Intention Toward Crypto Trading Applications in Indonesia</w:t>
      </w:r>
    </w:p>
    <w:p w14:paraId="2EDD84D5" w14:textId="7D23A715"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The rapid advancement of financial technology (FinTech) has reshaped how younger generations approach investing, with cryptocurrency trading appli-cations emerging as a popular gateway for digital-native investors. This study investigates the behavioral intentions and actual usage patterns of Generation Z users toward crypto trading applications in Indonesia. Using a quantitative research design based on the Technology Acceptance Model (TAM) and Unified Theory of Acceptance and Use of Technology (UTAUT), data were collected from 68 active Gen Z crypto traders and analyzed using Partial Least Squares Structural Equation Modeling (PLS-SEM). The find-ings reveal that Attitude Toward Use (ATU) exerts the strongest influence on Behavioral Intention to Use (BIU), which in turn significantly drives Actual Usage (AU). Furthermore, Facilitating Conditions (FC) positively affect AU, while Perceived Ease of Use (PEOU) indirectly contributes through FC rather than direct influence. Perceived Risk (PR) negatively im-pacts Social Influence (SI), whereas SI positively shapes ATU. The User In-terface (UI) significantly enhances PEOU, confirming the importance of de-sign quality in fostering user engagement. Overall, the study highlights that attitude, social dynamics, and enabling support systems are key determi-nants of Gen Z’s continued adoption of crypto trading applications. The re-sults provide practical implications for developers and policymakers seek-ing to enhance responsible participation in digital asset trading through im-proved usability, security, and literacy frameworks.</w:t>
      </w:r>
    </w:p>
    <w:p w14:paraId="5715150E" w14:textId="77777777" w:rsidR="00DB2E71" w:rsidRPr="0009073A" w:rsidRDefault="00DB2E71" w:rsidP="00A51969">
      <w:pPr>
        <w:spacing w:after="0" w:line="240" w:lineRule="auto"/>
        <w:jc w:val="both"/>
        <w:rPr>
          <w:rFonts w:ascii="Arial" w:hAnsi="Arial" w:cs="Arial"/>
          <w:sz w:val="20"/>
          <w:szCs w:val="20"/>
          <w:lang w:val="en-US"/>
        </w:rPr>
      </w:pPr>
    </w:p>
    <w:p w14:paraId="033DBA6C" w14:textId="0C9F51E2"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lang w:val="sv-SE"/>
        </w:rPr>
        <w:t xml:space="preserve">Irawati Nurmala Sari, Yuita Arum Sari and Weiwei Du. </w:t>
      </w:r>
      <w:r w:rsidRPr="00C072F1">
        <w:rPr>
          <w:rFonts w:ascii="Arial" w:hAnsi="Arial" w:cs="Arial"/>
          <w:sz w:val="20"/>
          <w:szCs w:val="20"/>
        </w:rPr>
        <w:t>Dual-Guided Diffusion for Batik Pattern Synthesis</w:t>
      </w:r>
    </w:p>
    <w:p w14:paraId="722568F2" w14:textId="00477EC6"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Batik pattern synthesis involves the preservation of both motif structure and color composition, which are fundamental to its visual and cultural characteristics. This paper presents a Dual-Guided Diffusion framework for batik pattern synthesis that explicitly incorporates edge-constrained structural extraction and palette-based color control within a diffusion-based generation model. Structural information is obtained by extracting edge representations from a structure reference image, enabling the diffusion process to maintain motif geometry and spatial coherence. In parallel, color guidance is derived from a color reference image by extracting a representative color palette, which is used to regulate color distribution during generation.</w:t>
      </w:r>
    </w:p>
    <w:p w14:paraId="1D02B3F2" w14:textId="77777777"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The extracted structural and color cues are integrated into a diffusion U-Net through ControlNet features and palette-aware bias injection, allowing both guidance signals to influence the model at multiple stages of the encoding and decoding process. This dual-guided design enables controlled synthesis by combining structural motifs and color palettes from different reference images while preserving consistency in the generated batik patterns. Experimental results indicate that the proposed method improves structural alignment and color fidelity compared to unguided diffusion models. Quantitative evaluations further demonstrate the effectiveness of the proposed framework for batik pattern synthesis.</w:t>
      </w:r>
    </w:p>
    <w:p w14:paraId="11534446" w14:textId="77777777" w:rsidR="00994428" w:rsidRDefault="00994428" w:rsidP="00A51969">
      <w:pPr>
        <w:spacing w:after="0" w:line="240" w:lineRule="auto"/>
        <w:jc w:val="both"/>
        <w:rPr>
          <w:rFonts w:ascii="Arial" w:hAnsi="Arial" w:cs="Arial"/>
          <w:sz w:val="20"/>
          <w:szCs w:val="20"/>
        </w:rPr>
      </w:pPr>
    </w:p>
    <w:p w14:paraId="0BBDFB9F" w14:textId="072E2BCE"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Shafatyra Reditha Shalsadilla, Lailil Muflikhah and Candra Dewi. MLP-based GAN for Augmenting DNA Sequence Data in Dengue Shock Syndrome Detection</w:t>
      </w:r>
    </w:p>
    <w:p w14:paraId="126AB8CA" w14:textId="4410CBFC"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Limited and imbalanced DNA sequence datasets present significant challenges in detecting Dengue Shock Syndrome (DSS), a severe complication of Dengue Hemorrhagic Fever. This study proposes a modified Multi-Layer Perceptron (MLP)-based Generative Adversarial Network (GAN) to augment DNA sequence data and improve DSS prediction performance. DNA sequences obtained from the National Center for Biotechnology Information (NCBI) are transformed using several representation techniques, including K-mer, One-hot Encoding, and Word2Vec. The augmented dataset is then evaluated using a Bidirectional Long Short-Term Memory (Bi-LSTM) model to classify DSS and non-DSS. Experimental results show that GAN augmentation increases the number of minority class samples and helps reduce dataset imbalance while maintaining stable classification performance with accuracy and F1-score values above 0.8. The successful implementation of this framework offers a significant impact on public health by enabling earlier clinical intervention. Be-yond DSS, this MLP-based GAN approach provides a robust and replicable strategy for addressing data scarcity and class imbalance in other rare genomic sequence classifications, potentially advancing the field of precision medicine and bioinformatics.</w:t>
      </w:r>
    </w:p>
    <w:p w14:paraId="31D4FB06" w14:textId="77777777" w:rsidR="00994428" w:rsidRDefault="00994428" w:rsidP="00A51969">
      <w:pPr>
        <w:spacing w:after="0" w:line="240" w:lineRule="auto"/>
        <w:jc w:val="both"/>
        <w:rPr>
          <w:rFonts w:ascii="Arial" w:hAnsi="Arial" w:cs="Arial"/>
          <w:sz w:val="20"/>
          <w:szCs w:val="20"/>
        </w:rPr>
      </w:pPr>
    </w:p>
    <w:p w14:paraId="6205BC0D" w14:textId="426EDB04"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Laurentius Justin, Kenneth Kuant, Izzat Inayaturrahman Haryono and Hanny Juwitasary. Analysis of the Influence of Live Commerce Strategy on Impulsive Buying Behaviour</w:t>
      </w:r>
    </w:p>
    <w:p w14:paraId="110C19B0" w14:textId="4976CF2F"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In 2025, live commerce continues to evolve as a dominant driver of Indone-sia’s digital economy by integrating e-commerce functionality with real-time livestreaming to create interactive, entertaining, and highly </w:t>
      </w:r>
      <w:r w:rsidR="00C072F1" w:rsidRPr="00C072F1">
        <w:rPr>
          <w:rFonts w:ascii="Arial" w:hAnsi="Arial" w:cs="Arial"/>
          <w:sz w:val="20"/>
          <w:szCs w:val="20"/>
        </w:rPr>
        <w:lastRenderedPageBreak/>
        <w:t>engaging shop-ping experiences. This study investigates how key live commerce strategies influence impulsive buying behaviour through the Stimulus–Organism–Response (SOR) framework, focusing on Social Presence and Sales Promo-tion as stimuli, Flow Experience as the organism, and Impulsive Buying Be-haviour as the response. Using data from 401 respondents in the Jabodetabek area and analyzed with Partial Least Squares Structural Equation Modelling (PLS-SEM), the results show that six of the seven proposed hypotheses were supported. Social Presence and Sales Promotion were found to significantly enhance Flow Experience, which in turn strongly contributed to impulsive buying tendencies and served as a mediating mechanism between the stimuli and behavioural response. Additionally, Money Availability was shown to positively moderate the effect of Flow Experience on impulsive buying, whereas Time Availability did not exhibit a significant moderating influence. These findings underscore the crucial role of interactive communication, host–audience rapport, and promotional intensity in fostering consumer im-mersion and stimulating spontaneous purchase decisions within live com-merce environments.</w:t>
      </w:r>
    </w:p>
    <w:p w14:paraId="2FF3D670" w14:textId="77777777" w:rsidR="00D6611C" w:rsidRDefault="00D6611C" w:rsidP="00A51969">
      <w:pPr>
        <w:spacing w:after="0" w:line="240" w:lineRule="auto"/>
        <w:jc w:val="both"/>
        <w:rPr>
          <w:rFonts w:ascii="Arial" w:hAnsi="Arial" w:cs="Arial"/>
          <w:sz w:val="20"/>
          <w:szCs w:val="20"/>
        </w:rPr>
      </w:pPr>
    </w:p>
    <w:p w14:paraId="18423C0C" w14:textId="40163B75"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I Made Aditya Wijaya, Suryanto Suryanto, Idris Gautama So, Anderes Gui, Ricky Kosasih and Hendra Alianto. Behavioral Intention to Use Mobile App in the Greater Jakarta</w:t>
      </w:r>
    </w:p>
    <w:p w14:paraId="27FAA1CC" w14:textId="3A9CA658"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The study examines the factors that affects behavioral intention to use</w:t>
      </w:r>
      <w:r w:rsidR="00D6611C">
        <w:rPr>
          <w:rFonts w:ascii="Arial" w:hAnsi="Arial" w:cs="Arial"/>
          <w:sz w:val="20"/>
          <w:szCs w:val="20"/>
        </w:rPr>
        <w:t xml:space="preserve"> </w:t>
      </w:r>
      <w:r w:rsidR="00C072F1" w:rsidRPr="00C072F1">
        <w:rPr>
          <w:rFonts w:ascii="Arial" w:hAnsi="Arial" w:cs="Arial"/>
          <w:sz w:val="20"/>
          <w:szCs w:val="20"/>
        </w:rPr>
        <w:t>mobile applications in Greater Jakarta by expanding the Technology Acceptance</w:t>
      </w:r>
      <w:r w:rsidR="00D6611C">
        <w:rPr>
          <w:rFonts w:ascii="Arial" w:hAnsi="Arial" w:cs="Arial"/>
          <w:sz w:val="20"/>
          <w:szCs w:val="20"/>
        </w:rPr>
        <w:t xml:space="preserve"> </w:t>
      </w:r>
      <w:r w:rsidR="00C072F1" w:rsidRPr="00C072F1">
        <w:rPr>
          <w:rFonts w:ascii="Arial" w:hAnsi="Arial" w:cs="Arial"/>
          <w:sz w:val="20"/>
          <w:szCs w:val="20"/>
        </w:rPr>
        <w:t>Model (TAM) with value-based elements such as conditional, functional, emotional, social, and epistemic values. A quantitative research method was used,</w:t>
      </w:r>
      <w:r w:rsidR="00D6611C">
        <w:rPr>
          <w:rFonts w:ascii="Arial" w:hAnsi="Arial" w:cs="Arial"/>
          <w:sz w:val="20"/>
          <w:szCs w:val="20"/>
        </w:rPr>
        <w:t xml:space="preserve"> </w:t>
      </w:r>
      <w:r w:rsidR="00C072F1" w:rsidRPr="00C072F1">
        <w:rPr>
          <w:rFonts w:ascii="Arial" w:hAnsi="Arial" w:cs="Arial"/>
          <w:sz w:val="20"/>
          <w:szCs w:val="20"/>
        </w:rPr>
        <w:t>with data collected from 341 verified respondents through online questionnaire</w:t>
      </w:r>
      <w:r w:rsidR="00D6611C">
        <w:rPr>
          <w:rFonts w:ascii="Arial" w:hAnsi="Arial" w:cs="Arial"/>
          <w:sz w:val="20"/>
          <w:szCs w:val="20"/>
        </w:rPr>
        <w:t xml:space="preserve"> </w:t>
      </w:r>
      <w:r w:rsidR="00C072F1" w:rsidRPr="00C072F1">
        <w:rPr>
          <w:rFonts w:ascii="Arial" w:hAnsi="Arial" w:cs="Arial"/>
          <w:sz w:val="20"/>
          <w:szCs w:val="20"/>
        </w:rPr>
        <w:t>in Google Forms. The measurement model and structured relationships within 14</w:t>
      </w:r>
      <w:r w:rsidR="00D6611C">
        <w:rPr>
          <w:rFonts w:ascii="Arial" w:hAnsi="Arial" w:cs="Arial"/>
          <w:sz w:val="20"/>
          <w:szCs w:val="20"/>
        </w:rPr>
        <w:t xml:space="preserve"> </w:t>
      </w:r>
      <w:r w:rsidR="00C072F1" w:rsidRPr="00C072F1">
        <w:rPr>
          <w:rFonts w:ascii="Arial" w:hAnsi="Arial" w:cs="Arial"/>
          <w:sz w:val="20"/>
          <w:szCs w:val="20"/>
        </w:rPr>
        <w:t>proposed hypotheses were scanned using Partial Least Squares Structural Equation Modelling (PLS-SEM) or SmartPLS. Results explained that subjective norm</w:t>
      </w:r>
      <w:r w:rsidR="00D6611C">
        <w:rPr>
          <w:rFonts w:ascii="Arial" w:hAnsi="Arial" w:cs="Arial"/>
          <w:sz w:val="20"/>
          <w:szCs w:val="20"/>
        </w:rPr>
        <w:t xml:space="preserve"> </w:t>
      </w:r>
      <w:r w:rsidR="00C072F1" w:rsidRPr="00C072F1">
        <w:rPr>
          <w:rFonts w:ascii="Arial" w:hAnsi="Arial" w:cs="Arial"/>
          <w:sz w:val="20"/>
          <w:szCs w:val="20"/>
        </w:rPr>
        <w:t>affects perceived usefulness and perceived ease of use, while perceived usefulness and ease of use didn't influence behavioral intention. Functional value, emotional value, and basic needs had a great effect on behavioral intention, where</w:t>
      </w:r>
      <w:r w:rsidR="00D6611C">
        <w:rPr>
          <w:rFonts w:ascii="Arial" w:hAnsi="Arial" w:cs="Arial"/>
          <w:sz w:val="20"/>
          <w:szCs w:val="20"/>
        </w:rPr>
        <w:t xml:space="preserve"> </w:t>
      </w:r>
      <w:r w:rsidR="00C072F1" w:rsidRPr="00C072F1">
        <w:rPr>
          <w:rFonts w:ascii="Arial" w:hAnsi="Arial" w:cs="Arial"/>
          <w:sz w:val="20"/>
          <w:szCs w:val="20"/>
        </w:rPr>
        <w:t>social value and epistemic value were not important indicators. The model gained</w:t>
      </w:r>
      <w:r w:rsidR="00D6611C">
        <w:rPr>
          <w:rFonts w:ascii="Arial" w:hAnsi="Arial" w:cs="Arial"/>
          <w:sz w:val="20"/>
          <w:szCs w:val="20"/>
        </w:rPr>
        <w:t xml:space="preserve"> </w:t>
      </w:r>
      <w:r w:rsidR="00C072F1" w:rsidRPr="00C072F1">
        <w:rPr>
          <w:rFonts w:ascii="Arial" w:hAnsi="Arial" w:cs="Arial"/>
          <w:sz w:val="20"/>
          <w:szCs w:val="20"/>
        </w:rPr>
        <w:t>a strong explanatory power and satisfactory fit indices, assuring its toughness.</w:t>
      </w:r>
      <w:r w:rsidR="00D6611C">
        <w:rPr>
          <w:rFonts w:ascii="Arial" w:hAnsi="Arial" w:cs="Arial"/>
          <w:sz w:val="20"/>
          <w:szCs w:val="20"/>
        </w:rPr>
        <w:t xml:space="preserve"> </w:t>
      </w:r>
      <w:r w:rsidR="00C072F1" w:rsidRPr="00C072F1">
        <w:rPr>
          <w:rFonts w:ascii="Arial" w:hAnsi="Arial" w:cs="Arial"/>
          <w:sz w:val="20"/>
          <w:szCs w:val="20"/>
        </w:rPr>
        <w:t>These findings highlight that users in Greater Jakarta are more attracted by emotional satisfaction, utility, and basic needs than social affection when adopting</w:t>
      </w:r>
      <w:r w:rsidR="00D6611C">
        <w:rPr>
          <w:rFonts w:ascii="Arial" w:hAnsi="Arial" w:cs="Arial"/>
          <w:sz w:val="20"/>
          <w:szCs w:val="20"/>
        </w:rPr>
        <w:t xml:space="preserve"> </w:t>
      </w:r>
      <w:r w:rsidR="00C072F1" w:rsidRPr="00C072F1">
        <w:rPr>
          <w:rFonts w:ascii="Arial" w:hAnsi="Arial" w:cs="Arial"/>
          <w:sz w:val="20"/>
          <w:szCs w:val="20"/>
        </w:rPr>
        <w:t>and using mobile apps. This study aims to advance mobile app adaptation frameworks in the digital era.</w:t>
      </w:r>
    </w:p>
    <w:p w14:paraId="4DCFD4F2" w14:textId="77777777" w:rsidR="00D6611C" w:rsidRDefault="00D6611C" w:rsidP="00A51969">
      <w:pPr>
        <w:spacing w:after="0" w:line="240" w:lineRule="auto"/>
        <w:jc w:val="both"/>
        <w:rPr>
          <w:rFonts w:ascii="Arial" w:hAnsi="Arial" w:cs="Arial"/>
          <w:sz w:val="20"/>
          <w:szCs w:val="20"/>
        </w:rPr>
      </w:pPr>
    </w:p>
    <w:p w14:paraId="551DD983" w14:textId="1070ADFF"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Barlian Henryranu Prasetio and Edita Rosana Widasari. Forensic Timbre Analysis of Anger-Induced Speech Variability Using Wavelet-Cepstral Features</w:t>
      </w:r>
    </w:p>
    <w:p w14:paraId="752E5E96" w14:textId="57976574"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Anger-induced variations in speech are often manifested through changes in spectral envelope, excitation characteristics, and temporal dynamics, which are inherently related to timbre. This study presents a forensic timbre analysis framework for anger intensity discrimination using wavelet-cepstral features. The proposed Wavelet Frequency Cepstral Coefficients (WFCC) integrate mul-ti-resolution time–frequency decomposition with cepstral representation to cap-ture non-stationary spectro-temporal patterns associated with emotional intensi-ty. Experiments were conducted on a speaker-independent subset of the CREMA-D dataset, focusing on three anger intensity levels (low, medium, high). The WFCC representation achieved a balanced accuracy of 71.4% (95% CI: 69.2–73.5%) and a macro F1-score of 0.70, outperforming conventional MFCC features by 8.4 percentage points in balanced accuracy. Statistical anal-ysis confirmed that the improvement over MFCC is significant (p &lt; 0.01), while performance remains comparable to higher-capacity representations such as wav2vec-based embeddings. Additional evaluations under additive noise conditions demonstrate that WFCC maintains stable performance across mod-erate noise levels, indicating robustness to acoustic variability. From a timbre-forensic perspective, the results suggest that multi-resolution cepstral features effectively capture intensity-dependent spectro-temporal signatures in speech. While the studies are limited to acted emotional data, the proposed framework provides an interpretable and efficient approach for analyzing anger-induced speech variability.</w:t>
      </w:r>
    </w:p>
    <w:p w14:paraId="63E44887" w14:textId="77777777" w:rsidR="001B75B7" w:rsidRPr="0009073A" w:rsidRDefault="001B75B7" w:rsidP="00A51969">
      <w:pPr>
        <w:spacing w:after="0" w:line="240" w:lineRule="auto"/>
        <w:jc w:val="both"/>
        <w:rPr>
          <w:rFonts w:ascii="Arial" w:hAnsi="Arial" w:cs="Arial"/>
          <w:sz w:val="20"/>
          <w:szCs w:val="20"/>
          <w:lang w:val="en-US"/>
        </w:rPr>
      </w:pPr>
    </w:p>
    <w:p w14:paraId="0EEFA532" w14:textId="3D4D91EF"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lang w:val="sv-SE"/>
        </w:rPr>
        <w:t xml:space="preserve">Harrizki Arie Pradana and Mohamad Aizi bin Salamat. </w:t>
      </w:r>
      <w:r w:rsidRPr="00C072F1">
        <w:rPr>
          <w:rFonts w:ascii="Arial" w:hAnsi="Arial" w:cs="Arial"/>
          <w:sz w:val="20"/>
          <w:szCs w:val="20"/>
        </w:rPr>
        <w:t>Analysis of Socio-Technical Aspects in the Implementation of Personal Data Protection in e Government Applications: A Case Study in the Bangka Belitung Islands Province</w:t>
      </w:r>
    </w:p>
    <w:p w14:paraId="74AD89ED" w14:textId="5C41BE1B"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The rapid development of digital governance in Indonesia has amplified concerns over personal data protection, particularly in provincial e-Government systems where regulatory implementation is uneven. In the Bangka Belitung Islands Province, the integration of digital public services has advanced significantly, yet the protection of citizens' personal data remains fragmented due to</w:t>
      </w:r>
      <w:r w:rsidR="001B75B7">
        <w:rPr>
          <w:rFonts w:ascii="Arial" w:hAnsi="Arial" w:cs="Arial"/>
          <w:sz w:val="20"/>
          <w:szCs w:val="20"/>
        </w:rPr>
        <w:t xml:space="preserve"> </w:t>
      </w:r>
      <w:r w:rsidR="00C072F1" w:rsidRPr="00C072F1">
        <w:rPr>
          <w:rFonts w:ascii="Arial" w:hAnsi="Arial" w:cs="Arial"/>
          <w:sz w:val="20"/>
          <w:szCs w:val="20"/>
        </w:rPr>
        <w:t>socio-organizational challenges and varying technical capacities. This study addresses the problem of weak alignment between technological infrastructure and</w:t>
      </w:r>
      <w:r w:rsidR="001B75B7">
        <w:rPr>
          <w:rFonts w:ascii="Arial" w:hAnsi="Arial" w:cs="Arial"/>
          <w:sz w:val="20"/>
          <w:szCs w:val="20"/>
        </w:rPr>
        <w:t xml:space="preserve"> </w:t>
      </w:r>
      <w:r w:rsidR="00C072F1" w:rsidRPr="00C072F1">
        <w:rPr>
          <w:rFonts w:ascii="Arial" w:hAnsi="Arial" w:cs="Arial"/>
          <w:sz w:val="20"/>
          <w:szCs w:val="20"/>
        </w:rPr>
        <w:t>social systems—such as institutional policies, user behaviours, and administrative coordination—in ensuring data security and privacy.</w:t>
      </w:r>
      <w:r w:rsidR="001B75B7">
        <w:rPr>
          <w:rFonts w:ascii="Arial" w:hAnsi="Arial" w:cs="Arial"/>
          <w:sz w:val="20"/>
          <w:szCs w:val="20"/>
        </w:rPr>
        <w:t xml:space="preserve"> </w:t>
      </w:r>
      <w:r w:rsidR="00C072F1" w:rsidRPr="00C072F1">
        <w:rPr>
          <w:rFonts w:ascii="Arial" w:hAnsi="Arial" w:cs="Arial"/>
          <w:sz w:val="20"/>
          <w:szCs w:val="20"/>
        </w:rPr>
        <w:t>To investigate these issues, this research employs a qualitative case study</w:t>
      </w:r>
    </w:p>
    <w:p w14:paraId="13BFE3DF" w14:textId="0ECD19FA"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method, collecting data through document reviews, semi-structured interviews</w:t>
      </w:r>
      <w:r w:rsidR="001B75B7">
        <w:rPr>
          <w:rFonts w:ascii="Arial" w:hAnsi="Arial" w:cs="Arial"/>
          <w:sz w:val="20"/>
          <w:szCs w:val="20"/>
        </w:rPr>
        <w:t xml:space="preserve"> </w:t>
      </w:r>
      <w:r w:rsidRPr="00C072F1">
        <w:rPr>
          <w:rFonts w:ascii="Arial" w:hAnsi="Arial" w:cs="Arial"/>
          <w:sz w:val="20"/>
          <w:szCs w:val="20"/>
        </w:rPr>
        <w:t>with government officials, and direct observations of e-Government application</w:t>
      </w:r>
      <w:r w:rsidR="001B75B7">
        <w:rPr>
          <w:rFonts w:ascii="Arial" w:hAnsi="Arial" w:cs="Arial"/>
          <w:sz w:val="20"/>
          <w:szCs w:val="20"/>
        </w:rPr>
        <w:t xml:space="preserve"> </w:t>
      </w:r>
      <w:r w:rsidRPr="00C072F1">
        <w:rPr>
          <w:rFonts w:ascii="Arial" w:hAnsi="Arial" w:cs="Arial"/>
          <w:sz w:val="20"/>
          <w:szCs w:val="20"/>
        </w:rPr>
        <w:t xml:space="preserve">usage. The analysis applies a socio-technical framework to </w:t>
      </w:r>
      <w:r w:rsidRPr="00C072F1">
        <w:rPr>
          <w:rFonts w:ascii="Arial" w:hAnsi="Arial" w:cs="Arial"/>
          <w:sz w:val="20"/>
          <w:szCs w:val="20"/>
        </w:rPr>
        <w:lastRenderedPageBreak/>
        <w:t>evaluate how technical safeguards (e.g., encryption, access controls) interact with social components (e.g., staff awareness, procedural consistency, inter-agency collaboration)</w:t>
      </w:r>
      <w:r w:rsidR="001B75B7">
        <w:rPr>
          <w:rFonts w:ascii="Arial" w:hAnsi="Arial" w:cs="Arial"/>
          <w:sz w:val="20"/>
          <w:szCs w:val="20"/>
        </w:rPr>
        <w:t xml:space="preserve"> </w:t>
      </w:r>
      <w:r w:rsidRPr="00C072F1">
        <w:rPr>
          <w:rFonts w:ascii="Arial" w:hAnsi="Arial" w:cs="Arial"/>
          <w:sz w:val="20"/>
          <w:szCs w:val="20"/>
        </w:rPr>
        <w:t>in the implementation of personal data protection.</w:t>
      </w:r>
      <w:r w:rsidR="001B75B7">
        <w:rPr>
          <w:rFonts w:ascii="Arial" w:hAnsi="Arial" w:cs="Arial"/>
          <w:sz w:val="20"/>
          <w:szCs w:val="20"/>
        </w:rPr>
        <w:t xml:space="preserve"> </w:t>
      </w:r>
      <w:r w:rsidRPr="00C072F1">
        <w:rPr>
          <w:rFonts w:ascii="Arial" w:hAnsi="Arial" w:cs="Arial"/>
          <w:sz w:val="20"/>
          <w:szCs w:val="20"/>
        </w:rPr>
        <w:t>The findings indicate that while technical systems have been deployed—such</w:t>
      </w:r>
      <w:r w:rsidR="001B75B7">
        <w:rPr>
          <w:rFonts w:ascii="Arial" w:hAnsi="Arial" w:cs="Arial"/>
          <w:sz w:val="20"/>
          <w:szCs w:val="20"/>
        </w:rPr>
        <w:t xml:space="preserve"> </w:t>
      </w:r>
      <w:r w:rsidRPr="00C072F1">
        <w:rPr>
          <w:rFonts w:ascii="Arial" w:hAnsi="Arial" w:cs="Arial"/>
          <w:sz w:val="20"/>
          <w:szCs w:val="20"/>
        </w:rPr>
        <w:t>as secure servers and authentication protocols—their effectiveness is undermined</w:t>
      </w:r>
      <w:r w:rsidR="001B75B7">
        <w:rPr>
          <w:rFonts w:ascii="Arial" w:hAnsi="Arial" w:cs="Arial"/>
          <w:sz w:val="20"/>
          <w:szCs w:val="20"/>
        </w:rPr>
        <w:t xml:space="preserve"> </w:t>
      </w:r>
      <w:r w:rsidRPr="00C072F1">
        <w:rPr>
          <w:rFonts w:ascii="Arial" w:hAnsi="Arial" w:cs="Arial"/>
          <w:sz w:val="20"/>
          <w:szCs w:val="20"/>
        </w:rPr>
        <w:t>by poor digital literacy among staff, informal practices like credential sharing,</w:t>
      </w:r>
      <w:r w:rsidR="001B75B7">
        <w:rPr>
          <w:rFonts w:ascii="Arial" w:hAnsi="Arial" w:cs="Arial"/>
          <w:sz w:val="20"/>
          <w:szCs w:val="20"/>
        </w:rPr>
        <w:t xml:space="preserve"> </w:t>
      </w:r>
      <w:r w:rsidRPr="00C072F1">
        <w:rPr>
          <w:rFonts w:ascii="Arial" w:hAnsi="Arial" w:cs="Arial"/>
          <w:sz w:val="20"/>
          <w:szCs w:val="20"/>
        </w:rPr>
        <w:t>and the absence of region-wide standard operating procedures. These misalignments expose significant vulnerabilities in protecting citizens’ personal information. The study concludes that enhancing personal data protection in e-Government requires an integrated strategy combining technical improvements with</w:t>
      </w:r>
      <w:r w:rsidR="001B75B7">
        <w:rPr>
          <w:rFonts w:ascii="Arial" w:hAnsi="Arial" w:cs="Arial"/>
          <w:sz w:val="20"/>
          <w:szCs w:val="20"/>
        </w:rPr>
        <w:t xml:space="preserve"> </w:t>
      </w:r>
      <w:r w:rsidRPr="00C072F1">
        <w:rPr>
          <w:rFonts w:ascii="Arial" w:hAnsi="Arial" w:cs="Arial"/>
          <w:sz w:val="20"/>
          <w:szCs w:val="20"/>
        </w:rPr>
        <w:t>policy enforcement, organizational training, and public awareness campaigns. A</w:t>
      </w:r>
    </w:p>
    <w:p w14:paraId="5CCE2B7E" w14:textId="6D6A4DE8"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socio-technical perspective is therefore essential for building trust and accountability in regional digital governance systems.</w:t>
      </w:r>
    </w:p>
    <w:p w14:paraId="6452044C" w14:textId="77777777" w:rsidR="001B75B7" w:rsidRDefault="001B75B7" w:rsidP="00A51969">
      <w:pPr>
        <w:spacing w:after="0" w:line="240" w:lineRule="auto"/>
        <w:jc w:val="both"/>
        <w:rPr>
          <w:rFonts w:ascii="Arial" w:hAnsi="Arial" w:cs="Arial"/>
          <w:sz w:val="20"/>
          <w:szCs w:val="20"/>
        </w:rPr>
      </w:pPr>
    </w:p>
    <w:p w14:paraId="60EECBD6" w14:textId="77777777" w:rsidR="009333B4" w:rsidRPr="009333B4" w:rsidRDefault="009333B4" w:rsidP="00A51969">
      <w:pPr>
        <w:spacing w:after="0" w:line="240" w:lineRule="auto"/>
        <w:jc w:val="both"/>
        <w:rPr>
          <w:rFonts w:ascii="Arial" w:hAnsi="Arial" w:cs="Arial"/>
          <w:sz w:val="20"/>
          <w:szCs w:val="20"/>
        </w:rPr>
      </w:pPr>
      <w:r w:rsidRPr="009333B4">
        <w:rPr>
          <w:rFonts w:ascii="Arial" w:hAnsi="Arial" w:cs="Arial"/>
          <w:sz w:val="20"/>
          <w:szCs w:val="20"/>
        </w:rPr>
        <w:t>Andi Wiliam, Pinkan Pristine Omassy Gea and Chelsea Aurelia. EXAMINING THE IMPACT OF AI-DRIVEN MARKETING STRATEGIES ON CONSUMER PURCHASE DECISIONS IN SOUTHEAST ASIA: A CASE STUDY OF FAST FASHION</w:t>
      </w:r>
    </w:p>
    <w:p w14:paraId="440EC52E" w14:textId="23B02D0D" w:rsidR="009333B4" w:rsidRPr="009333B4" w:rsidRDefault="009333B4" w:rsidP="00A51969">
      <w:pPr>
        <w:spacing w:after="0" w:line="240" w:lineRule="auto"/>
        <w:jc w:val="both"/>
        <w:rPr>
          <w:rFonts w:ascii="Arial" w:hAnsi="Arial" w:cs="Arial"/>
          <w:sz w:val="20"/>
          <w:szCs w:val="20"/>
        </w:rPr>
      </w:pPr>
      <w:r w:rsidRPr="009333B4">
        <w:rPr>
          <w:rFonts w:ascii="Arial" w:hAnsi="Arial" w:cs="Arial"/>
          <w:sz w:val="20"/>
          <w:szCs w:val="20"/>
        </w:rPr>
        <w:t>Abstract:</w:t>
      </w:r>
      <w:r w:rsidRPr="009333B4">
        <w:rPr>
          <w:rFonts w:ascii="Arial" w:hAnsi="Arial" w:cs="Arial"/>
          <w:b/>
          <w:bCs/>
          <w:sz w:val="20"/>
          <w:szCs w:val="20"/>
        </w:rPr>
        <w:t xml:space="preserve"> </w:t>
      </w:r>
      <w:r w:rsidRPr="009333B4">
        <w:rPr>
          <w:rFonts w:ascii="Arial" w:hAnsi="Arial" w:cs="Arial"/>
          <w:sz w:val="20"/>
          <w:szCs w:val="20"/>
        </w:rPr>
        <w:t xml:space="preserve">his study seeks to analyze the implementation of sustainable </w:t>
      </w:r>
      <w:proofErr w:type="gramStart"/>
      <w:r w:rsidRPr="009333B4">
        <w:rPr>
          <w:rFonts w:ascii="Arial" w:hAnsi="Arial" w:cs="Arial"/>
          <w:sz w:val="20"/>
          <w:szCs w:val="20"/>
        </w:rPr>
        <w:t xml:space="preserve">marketing </w:t>
      </w:r>
      <w:r>
        <w:rPr>
          <w:rFonts w:ascii="Arial" w:hAnsi="Arial" w:cs="Arial"/>
          <w:sz w:val="20"/>
          <w:szCs w:val="20"/>
        </w:rPr>
        <w:t xml:space="preserve"> </w:t>
      </w:r>
      <w:r w:rsidRPr="009333B4">
        <w:rPr>
          <w:rFonts w:ascii="Arial" w:hAnsi="Arial" w:cs="Arial"/>
          <w:sz w:val="20"/>
          <w:szCs w:val="20"/>
        </w:rPr>
        <w:t>strategies</w:t>
      </w:r>
      <w:proofErr w:type="gramEnd"/>
      <w:r w:rsidRPr="009333B4">
        <w:rPr>
          <w:rFonts w:ascii="Arial" w:hAnsi="Arial" w:cs="Arial"/>
          <w:sz w:val="20"/>
          <w:szCs w:val="20"/>
        </w:rPr>
        <w:t xml:space="preserve"> by the H&amp;M brand, serving as a representative of fast fashion </w:t>
      </w:r>
      <w:proofErr w:type="gramStart"/>
      <w:r w:rsidRPr="009333B4">
        <w:rPr>
          <w:rFonts w:ascii="Arial" w:hAnsi="Arial" w:cs="Arial"/>
          <w:sz w:val="20"/>
          <w:szCs w:val="20"/>
        </w:rPr>
        <w:t xml:space="preserve">firms </w:t>
      </w:r>
      <w:r>
        <w:rPr>
          <w:rFonts w:ascii="Arial" w:hAnsi="Arial" w:cs="Arial"/>
          <w:sz w:val="20"/>
          <w:szCs w:val="20"/>
        </w:rPr>
        <w:t xml:space="preserve"> </w:t>
      </w:r>
      <w:r w:rsidRPr="009333B4">
        <w:rPr>
          <w:rFonts w:ascii="Arial" w:hAnsi="Arial" w:cs="Arial"/>
          <w:sz w:val="20"/>
          <w:szCs w:val="20"/>
        </w:rPr>
        <w:t>within</w:t>
      </w:r>
      <w:proofErr w:type="gramEnd"/>
      <w:r w:rsidRPr="009333B4">
        <w:rPr>
          <w:rFonts w:ascii="Arial" w:hAnsi="Arial" w:cs="Arial"/>
          <w:sz w:val="20"/>
          <w:szCs w:val="20"/>
        </w:rPr>
        <w:t xml:space="preserve"> the fashion sector. This study examines the impact of AI as a </w:t>
      </w:r>
      <w:proofErr w:type="gramStart"/>
      <w:r w:rsidRPr="009333B4">
        <w:rPr>
          <w:rFonts w:ascii="Arial" w:hAnsi="Arial" w:cs="Arial"/>
          <w:sz w:val="20"/>
          <w:szCs w:val="20"/>
        </w:rPr>
        <w:t xml:space="preserve">mediating </w:t>
      </w:r>
      <w:r>
        <w:rPr>
          <w:rFonts w:ascii="Arial" w:hAnsi="Arial" w:cs="Arial"/>
          <w:sz w:val="20"/>
          <w:szCs w:val="20"/>
        </w:rPr>
        <w:t xml:space="preserve"> </w:t>
      </w:r>
      <w:r w:rsidRPr="009333B4">
        <w:rPr>
          <w:rFonts w:ascii="Arial" w:hAnsi="Arial" w:cs="Arial"/>
          <w:sz w:val="20"/>
          <w:szCs w:val="20"/>
        </w:rPr>
        <w:t>variable</w:t>
      </w:r>
      <w:proofErr w:type="gramEnd"/>
      <w:r w:rsidRPr="009333B4">
        <w:rPr>
          <w:rFonts w:ascii="Arial" w:hAnsi="Arial" w:cs="Arial"/>
          <w:sz w:val="20"/>
          <w:szCs w:val="20"/>
        </w:rPr>
        <w:t xml:space="preserve"> on environmental consciousness, brand image, and overall value, </w:t>
      </w:r>
      <w:proofErr w:type="gramStart"/>
      <w:r w:rsidRPr="009333B4">
        <w:rPr>
          <w:rFonts w:ascii="Arial" w:hAnsi="Arial" w:cs="Arial"/>
          <w:sz w:val="20"/>
          <w:szCs w:val="20"/>
        </w:rPr>
        <w:t xml:space="preserve">which </w:t>
      </w:r>
      <w:r>
        <w:rPr>
          <w:rFonts w:ascii="Arial" w:hAnsi="Arial" w:cs="Arial"/>
          <w:sz w:val="20"/>
          <w:szCs w:val="20"/>
        </w:rPr>
        <w:t xml:space="preserve"> </w:t>
      </w:r>
      <w:r w:rsidRPr="009333B4">
        <w:rPr>
          <w:rFonts w:ascii="Arial" w:hAnsi="Arial" w:cs="Arial"/>
          <w:sz w:val="20"/>
          <w:szCs w:val="20"/>
        </w:rPr>
        <w:t>serve</w:t>
      </w:r>
      <w:proofErr w:type="gramEnd"/>
      <w:r w:rsidRPr="009333B4">
        <w:rPr>
          <w:rFonts w:ascii="Arial" w:hAnsi="Arial" w:cs="Arial"/>
          <w:sz w:val="20"/>
          <w:szCs w:val="20"/>
        </w:rPr>
        <w:t xml:space="preserve"> as independent factors, in relation to purchasing decisions as the </w:t>
      </w:r>
      <w:proofErr w:type="gramStart"/>
      <w:r w:rsidRPr="009333B4">
        <w:rPr>
          <w:rFonts w:ascii="Arial" w:hAnsi="Arial" w:cs="Arial"/>
          <w:sz w:val="20"/>
          <w:szCs w:val="20"/>
        </w:rPr>
        <w:t xml:space="preserve">dependent </w:t>
      </w:r>
      <w:r>
        <w:rPr>
          <w:rFonts w:ascii="Arial" w:hAnsi="Arial" w:cs="Arial"/>
          <w:sz w:val="20"/>
          <w:szCs w:val="20"/>
        </w:rPr>
        <w:t xml:space="preserve"> </w:t>
      </w:r>
      <w:r w:rsidRPr="009333B4">
        <w:rPr>
          <w:rFonts w:ascii="Arial" w:hAnsi="Arial" w:cs="Arial"/>
          <w:sz w:val="20"/>
          <w:szCs w:val="20"/>
        </w:rPr>
        <w:t>variable</w:t>
      </w:r>
      <w:proofErr w:type="gramEnd"/>
      <w:r w:rsidRPr="009333B4">
        <w:rPr>
          <w:rFonts w:ascii="Arial" w:hAnsi="Arial" w:cs="Arial"/>
          <w:sz w:val="20"/>
          <w:szCs w:val="20"/>
        </w:rPr>
        <w:t>. We employed a quantitative</w:t>
      </w:r>
      <w:r>
        <w:rPr>
          <w:rFonts w:ascii="Arial" w:hAnsi="Arial" w:cs="Arial"/>
          <w:sz w:val="20"/>
          <w:szCs w:val="20"/>
        </w:rPr>
        <w:t xml:space="preserve"> </w:t>
      </w:r>
      <w:r w:rsidRPr="009333B4">
        <w:rPr>
          <w:rFonts w:ascii="Arial" w:hAnsi="Arial" w:cs="Arial"/>
          <w:sz w:val="20"/>
          <w:szCs w:val="20"/>
        </w:rPr>
        <w:t xml:space="preserve">approach to survey 300 participants. </w:t>
      </w:r>
      <w:proofErr w:type="gramStart"/>
      <w:r w:rsidRPr="009333B4">
        <w:rPr>
          <w:rFonts w:ascii="Arial" w:hAnsi="Arial" w:cs="Arial"/>
          <w:sz w:val="20"/>
          <w:szCs w:val="20"/>
        </w:rPr>
        <w:t xml:space="preserve">This </w:t>
      </w:r>
      <w:r>
        <w:rPr>
          <w:rFonts w:ascii="Arial" w:hAnsi="Arial" w:cs="Arial"/>
          <w:sz w:val="20"/>
          <w:szCs w:val="20"/>
        </w:rPr>
        <w:t xml:space="preserve"> </w:t>
      </w:r>
      <w:r w:rsidRPr="009333B4">
        <w:rPr>
          <w:rFonts w:ascii="Arial" w:hAnsi="Arial" w:cs="Arial"/>
          <w:sz w:val="20"/>
          <w:szCs w:val="20"/>
        </w:rPr>
        <w:t>study</w:t>
      </w:r>
      <w:proofErr w:type="gramEnd"/>
      <w:r w:rsidRPr="009333B4">
        <w:rPr>
          <w:rFonts w:ascii="Arial" w:hAnsi="Arial" w:cs="Arial"/>
          <w:sz w:val="20"/>
          <w:szCs w:val="20"/>
        </w:rPr>
        <w:t xml:space="preserve"> demonstrates that: 1) AI-driven marketing strategies substantially </w:t>
      </w:r>
      <w:proofErr w:type="gramStart"/>
      <w:r w:rsidRPr="009333B4">
        <w:rPr>
          <w:rFonts w:ascii="Arial" w:hAnsi="Arial" w:cs="Arial"/>
          <w:sz w:val="20"/>
          <w:szCs w:val="20"/>
        </w:rPr>
        <w:t xml:space="preserve">impact </w:t>
      </w:r>
      <w:r>
        <w:rPr>
          <w:rFonts w:ascii="Arial" w:hAnsi="Arial" w:cs="Arial"/>
          <w:sz w:val="20"/>
          <w:szCs w:val="20"/>
        </w:rPr>
        <w:t xml:space="preserve"> </w:t>
      </w:r>
      <w:r w:rsidRPr="009333B4">
        <w:rPr>
          <w:rFonts w:ascii="Arial" w:hAnsi="Arial" w:cs="Arial"/>
          <w:sz w:val="20"/>
          <w:szCs w:val="20"/>
        </w:rPr>
        <w:t>consumer</w:t>
      </w:r>
      <w:proofErr w:type="gramEnd"/>
      <w:r w:rsidRPr="009333B4">
        <w:rPr>
          <w:rFonts w:ascii="Arial" w:hAnsi="Arial" w:cs="Arial"/>
          <w:sz w:val="20"/>
          <w:szCs w:val="20"/>
        </w:rPr>
        <w:t xml:space="preserve"> experience and purchasing behavior; 2) A favorable and </w:t>
      </w:r>
      <w:proofErr w:type="gramStart"/>
      <w:r w:rsidRPr="009333B4">
        <w:rPr>
          <w:rFonts w:ascii="Arial" w:hAnsi="Arial" w:cs="Arial"/>
          <w:sz w:val="20"/>
          <w:szCs w:val="20"/>
        </w:rPr>
        <w:t xml:space="preserve">personalized </w:t>
      </w:r>
      <w:r>
        <w:rPr>
          <w:rFonts w:ascii="Arial" w:hAnsi="Arial" w:cs="Arial"/>
          <w:sz w:val="20"/>
          <w:szCs w:val="20"/>
        </w:rPr>
        <w:t xml:space="preserve"> </w:t>
      </w:r>
      <w:r w:rsidRPr="009333B4">
        <w:rPr>
          <w:rFonts w:ascii="Arial" w:hAnsi="Arial" w:cs="Arial"/>
          <w:sz w:val="20"/>
          <w:szCs w:val="20"/>
        </w:rPr>
        <w:t>interaction</w:t>
      </w:r>
      <w:proofErr w:type="gramEnd"/>
      <w:r w:rsidRPr="009333B4">
        <w:rPr>
          <w:rFonts w:ascii="Arial" w:hAnsi="Arial" w:cs="Arial"/>
          <w:sz w:val="20"/>
          <w:szCs w:val="20"/>
        </w:rPr>
        <w:t xml:space="preserve"> with AI technologies, including chatbots and </w:t>
      </w:r>
      <w:proofErr w:type="gramStart"/>
      <w:r w:rsidRPr="009333B4">
        <w:rPr>
          <w:rFonts w:ascii="Arial" w:hAnsi="Arial" w:cs="Arial"/>
          <w:sz w:val="20"/>
          <w:szCs w:val="20"/>
        </w:rPr>
        <w:t xml:space="preserve">recommendation </w:t>
      </w:r>
      <w:r>
        <w:rPr>
          <w:rFonts w:ascii="Arial" w:hAnsi="Arial" w:cs="Arial"/>
          <w:sz w:val="20"/>
          <w:szCs w:val="20"/>
        </w:rPr>
        <w:t xml:space="preserve"> </w:t>
      </w:r>
      <w:r w:rsidRPr="009333B4">
        <w:rPr>
          <w:rFonts w:ascii="Arial" w:hAnsi="Arial" w:cs="Arial"/>
          <w:sz w:val="20"/>
          <w:szCs w:val="20"/>
        </w:rPr>
        <w:t>systems</w:t>
      </w:r>
      <w:proofErr w:type="gramEnd"/>
      <w:r w:rsidRPr="009333B4">
        <w:rPr>
          <w:rFonts w:ascii="Arial" w:hAnsi="Arial" w:cs="Arial"/>
          <w:sz w:val="20"/>
          <w:szCs w:val="20"/>
        </w:rPr>
        <w:t xml:space="preserve">, enhances the probability of consumer purchases; and 3) Brand </w:t>
      </w:r>
      <w:proofErr w:type="gramStart"/>
      <w:r w:rsidRPr="009333B4">
        <w:rPr>
          <w:rFonts w:ascii="Arial" w:hAnsi="Arial" w:cs="Arial"/>
          <w:sz w:val="20"/>
          <w:szCs w:val="20"/>
        </w:rPr>
        <w:t xml:space="preserve">trust, </w:t>
      </w:r>
      <w:r>
        <w:rPr>
          <w:rFonts w:ascii="Arial" w:hAnsi="Arial" w:cs="Arial"/>
          <w:sz w:val="20"/>
          <w:szCs w:val="20"/>
        </w:rPr>
        <w:t xml:space="preserve"> </w:t>
      </w:r>
      <w:r w:rsidRPr="009333B4">
        <w:rPr>
          <w:rFonts w:ascii="Arial" w:hAnsi="Arial" w:cs="Arial"/>
          <w:sz w:val="20"/>
          <w:szCs w:val="20"/>
        </w:rPr>
        <w:t>coupled</w:t>
      </w:r>
      <w:proofErr w:type="gramEnd"/>
      <w:r w:rsidRPr="009333B4">
        <w:rPr>
          <w:rFonts w:ascii="Arial" w:hAnsi="Arial" w:cs="Arial"/>
          <w:sz w:val="20"/>
          <w:szCs w:val="20"/>
        </w:rPr>
        <w:t xml:space="preserve"> with perceptions of ethics, innovation, and sustainability, bolsters </w:t>
      </w:r>
      <w:proofErr w:type="gramStart"/>
      <w:r w:rsidRPr="009333B4">
        <w:rPr>
          <w:rFonts w:ascii="Arial" w:hAnsi="Arial" w:cs="Arial"/>
          <w:sz w:val="20"/>
          <w:szCs w:val="20"/>
        </w:rPr>
        <w:t xml:space="preserve">the </w:t>
      </w:r>
      <w:r>
        <w:rPr>
          <w:rFonts w:ascii="Arial" w:hAnsi="Arial" w:cs="Arial"/>
          <w:sz w:val="20"/>
          <w:szCs w:val="20"/>
        </w:rPr>
        <w:t xml:space="preserve"> </w:t>
      </w:r>
      <w:r w:rsidRPr="009333B4">
        <w:rPr>
          <w:rFonts w:ascii="Arial" w:hAnsi="Arial" w:cs="Arial"/>
          <w:sz w:val="20"/>
          <w:szCs w:val="20"/>
        </w:rPr>
        <w:t>efficacy</w:t>
      </w:r>
      <w:proofErr w:type="gramEnd"/>
      <w:r w:rsidRPr="009333B4">
        <w:rPr>
          <w:rFonts w:ascii="Arial" w:hAnsi="Arial" w:cs="Arial"/>
          <w:sz w:val="20"/>
          <w:szCs w:val="20"/>
        </w:rPr>
        <w:t xml:space="preserve"> of AI functionalities in appealing to consumers. To contextualize </w:t>
      </w:r>
      <w:proofErr w:type="gramStart"/>
      <w:r w:rsidRPr="009333B4">
        <w:rPr>
          <w:rFonts w:ascii="Arial" w:hAnsi="Arial" w:cs="Arial"/>
          <w:sz w:val="20"/>
          <w:szCs w:val="20"/>
        </w:rPr>
        <w:t xml:space="preserve">this </w:t>
      </w:r>
      <w:r>
        <w:rPr>
          <w:rFonts w:ascii="Arial" w:hAnsi="Arial" w:cs="Arial"/>
          <w:sz w:val="20"/>
          <w:szCs w:val="20"/>
        </w:rPr>
        <w:t xml:space="preserve"> </w:t>
      </w:r>
      <w:r w:rsidRPr="009333B4">
        <w:rPr>
          <w:rFonts w:ascii="Arial" w:hAnsi="Arial" w:cs="Arial"/>
          <w:sz w:val="20"/>
          <w:szCs w:val="20"/>
        </w:rPr>
        <w:t>within</w:t>
      </w:r>
      <w:proofErr w:type="gramEnd"/>
      <w:r w:rsidRPr="009333B4">
        <w:rPr>
          <w:rFonts w:ascii="Arial" w:hAnsi="Arial" w:cs="Arial"/>
          <w:sz w:val="20"/>
          <w:szCs w:val="20"/>
        </w:rPr>
        <w:t xml:space="preserve"> Southeast Asia,</w:t>
      </w:r>
      <w:r>
        <w:rPr>
          <w:rFonts w:ascii="Arial" w:hAnsi="Arial" w:cs="Arial"/>
          <w:sz w:val="20"/>
          <w:szCs w:val="20"/>
        </w:rPr>
        <w:t xml:space="preserve"> </w:t>
      </w:r>
      <w:r w:rsidRPr="009333B4">
        <w:rPr>
          <w:rFonts w:ascii="Arial" w:hAnsi="Arial" w:cs="Arial"/>
          <w:sz w:val="20"/>
          <w:szCs w:val="20"/>
        </w:rPr>
        <w:t xml:space="preserve">we consider the implications of H&amp;M’s green </w:t>
      </w:r>
      <w:proofErr w:type="gramStart"/>
      <w:r w:rsidRPr="009333B4">
        <w:rPr>
          <w:rFonts w:ascii="Arial" w:hAnsi="Arial" w:cs="Arial"/>
          <w:sz w:val="20"/>
          <w:szCs w:val="20"/>
        </w:rPr>
        <w:t xml:space="preserve">initiatives </w:t>
      </w:r>
      <w:r>
        <w:rPr>
          <w:rFonts w:ascii="Arial" w:hAnsi="Arial" w:cs="Arial"/>
          <w:sz w:val="20"/>
          <w:szCs w:val="20"/>
        </w:rPr>
        <w:t xml:space="preserve"> </w:t>
      </w:r>
      <w:r w:rsidRPr="009333B4">
        <w:rPr>
          <w:rFonts w:ascii="Arial" w:hAnsi="Arial" w:cs="Arial"/>
          <w:sz w:val="20"/>
          <w:szCs w:val="20"/>
        </w:rPr>
        <w:t>and</w:t>
      </w:r>
      <w:proofErr w:type="gramEnd"/>
      <w:r w:rsidRPr="009333B4">
        <w:rPr>
          <w:rFonts w:ascii="Arial" w:hAnsi="Arial" w:cs="Arial"/>
          <w:sz w:val="20"/>
          <w:szCs w:val="20"/>
        </w:rPr>
        <w:t xml:space="preserve"> AI implementation in Indonesia and Malaysia — two emerging </w:t>
      </w:r>
      <w:proofErr w:type="gramStart"/>
      <w:r w:rsidRPr="009333B4">
        <w:rPr>
          <w:rFonts w:ascii="Arial" w:hAnsi="Arial" w:cs="Arial"/>
          <w:sz w:val="20"/>
          <w:szCs w:val="20"/>
        </w:rPr>
        <w:t xml:space="preserve">markets </w:t>
      </w:r>
      <w:r>
        <w:rPr>
          <w:rFonts w:ascii="Arial" w:hAnsi="Arial" w:cs="Arial"/>
          <w:sz w:val="20"/>
          <w:szCs w:val="20"/>
        </w:rPr>
        <w:t xml:space="preserve"> </w:t>
      </w:r>
      <w:r w:rsidRPr="009333B4">
        <w:rPr>
          <w:rFonts w:ascii="Arial" w:hAnsi="Arial" w:cs="Arial"/>
          <w:sz w:val="20"/>
          <w:szCs w:val="20"/>
        </w:rPr>
        <w:t>where</w:t>
      </w:r>
      <w:proofErr w:type="gramEnd"/>
      <w:r w:rsidRPr="009333B4">
        <w:rPr>
          <w:rFonts w:ascii="Arial" w:hAnsi="Arial" w:cs="Arial"/>
          <w:sz w:val="20"/>
          <w:szCs w:val="20"/>
        </w:rPr>
        <w:t xml:space="preserve"> youth consumerism intersects with rising environmental awareness. </w:t>
      </w:r>
      <w:proofErr w:type="gramStart"/>
      <w:r w:rsidRPr="009333B4">
        <w:rPr>
          <w:rFonts w:ascii="Arial" w:hAnsi="Arial" w:cs="Arial"/>
          <w:sz w:val="20"/>
          <w:szCs w:val="20"/>
        </w:rPr>
        <w:t xml:space="preserve">This </w:t>
      </w:r>
      <w:r>
        <w:rPr>
          <w:rFonts w:ascii="Arial" w:hAnsi="Arial" w:cs="Arial"/>
          <w:sz w:val="20"/>
          <w:szCs w:val="20"/>
        </w:rPr>
        <w:t xml:space="preserve"> </w:t>
      </w:r>
      <w:r w:rsidRPr="009333B4">
        <w:rPr>
          <w:rFonts w:ascii="Arial" w:hAnsi="Arial" w:cs="Arial"/>
          <w:sz w:val="20"/>
          <w:szCs w:val="20"/>
        </w:rPr>
        <w:t>report</w:t>
      </w:r>
      <w:proofErr w:type="gramEnd"/>
      <w:r w:rsidRPr="009333B4">
        <w:rPr>
          <w:rFonts w:ascii="Arial" w:hAnsi="Arial" w:cs="Arial"/>
          <w:sz w:val="20"/>
          <w:szCs w:val="20"/>
        </w:rPr>
        <w:t xml:space="preserve"> recommends that H&amp;M invest in AI technology development to </w:t>
      </w:r>
      <w:proofErr w:type="gramStart"/>
      <w:r w:rsidRPr="009333B4">
        <w:rPr>
          <w:rFonts w:ascii="Arial" w:hAnsi="Arial" w:cs="Arial"/>
          <w:sz w:val="20"/>
          <w:szCs w:val="20"/>
        </w:rPr>
        <w:t xml:space="preserve">improve </w:t>
      </w:r>
      <w:r>
        <w:rPr>
          <w:rFonts w:ascii="Arial" w:hAnsi="Arial" w:cs="Arial"/>
          <w:sz w:val="20"/>
          <w:szCs w:val="20"/>
        </w:rPr>
        <w:t xml:space="preserve"> </w:t>
      </w:r>
      <w:r w:rsidRPr="009333B4">
        <w:rPr>
          <w:rFonts w:ascii="Arial" w:hAnsi="Arial" w:cs="Arial"/>
          <w:sz w:val="20"/>
          <w:szCs w:val="20"/>
        </w:rPr>
        <w:t>tailored</w:t>
      </w:r>
      <w:proofErr w:type="gramEnd"/>
      <w:r w:rsidRPr="009333B4">
        <w:rPr>
          <w:rFonts w:ascii="Arial" w:hAnsi="Arial" w:cs="Arial"/>
          <w:sz w:val="20"/>
          <w:szCs w:val="20"/>
        </w:rPr>
        <w:t xml:space="preserve"> and efficient customer experiences, thereby augmenting </w:t>
      </w:r>
      <w:proofErr w:type="gramStart"/>
      <w:r w:rsidRPr="009333B4">
        <w:rPr>
          <w:rFonts w:ascii="Arial" w:hAnsi="Arial" w:cs="Arial"/>
          <w:sz w:val="20"/>
          <w:szCs w:val="20"/>
        </w:rPr>
        <w:t xml:space="preserve">consumer </w:t>
      </w:r>
      <w:r>
        <w:rPr>
          <w:rFonts w:ascii="Arial" w:hAnsi="Arial" w:cs="Arial"/>
          <w:sz w:val="20"/>
          <w:szCs w:val="20"/>
        </w:rPr>
        <w:t xml:space="preserve"> </w:t>
      </w:r>
      <w:r w:rsidRPr="009333B4">
        <w:rPr>
          <w:rFonts w:ascii="Arial" w:hAnsi="Arial" w:cs="Arial"/>
          <w:sz w:val="20"/>
          <w:szCs w:val="20"/>
        </w:rPr>
        <w:t>purchasing</w:t>
      </w:r>
      <w:proofErr w:type="gramEnd"/>
      <w:r w:rsidRPr="009333B4">
        <w:rPr>
          <w:rFonts w:ascii="Arial" w:hAnsi="Arial" w:cs="Arial"/>
          <w:sz w:val="20"/>
          <w:szCs w:val="20"/>
        </w:rPr>
        <w:t xml:space="preserve"> decisions at H&amp;M</w:t>
      </w:r>
      <w:r>
        <w:rPr>
          <w:rFonts w:ascii="Arial" w:hAnsi="Arial" w:cs="Arial"/>
          <w:sz w:val="20"/>
          <w:szCs w:val="20"/>
        </w:rPr>
        <w:t>.</w:t>
      </w:r>
    </w:p>
    <w:p w14:paraId="13A17E9C" w14:textId="77777777" w:rsidR="009333B4" w:rsidRDefault="009333B4" w:rsidP="00A51969">
      <w:pPr>
        <w:spacing w:after="0" w:line="240" w:lineRule="auto"/>
        <w:jc w:val="both"/>
        <w:rPr>
          <w:rFonts w:ascii="Arial" w:hAnsi="Arial" w:cs="Arial"/>
          <w:sz w:val="20"/>
          <w:szCs w:val="20"/>
        </w:rPr>
      </w:pPr>
    </w:p>
    <w:p w14:paraId="6C9A03DD" w14:textId="77777777" w:rsidR="004A4F53" w:rsidRPr="004A4F53" w:rsidRDefault="004A4F53" w:rsidP="00A51969">
      <w:pPr>
        <w:spacing w:after="0" w:line="240" w:lineRule="auto"/>
        <w:jc w:val="both"/>
        <w:rPr>
          <w:rFonts w:ascii="Arial" w:hAnsi="Arial" w:cs="Arial"/>
          <w:sz w:val="20"/>
          <w:szCs w:val="20"/>
        </w:rPr>
      </w:pPr>
      <w:r w:rsidRPr="004A4F53">
        <w:rPr>
          <w:rFonts w:ascii="Arial" w:hAnsi="Arial" w:cs="Arial"/>
          <w:sz w:val="20"/>
          <w:szCs w:val="20"/>
        </w:rPr>
        <w:t>Andi Wiliam, Ika Suhartanti Darmo, Viany Utami Tjhin, Siti Salwa Sheikh Mokhtar, Apriani Kurnia Suci, Bayu Dwi Apri Nugroho and Anggraeni Woro Hapsari. OPTIMIZING SCHEDULING SYSTEMS FOR AGRIBUSINESS SME’S USING AI-BASED DECISION SUPPORT SYSTEMS</w:t>
      </w:r>
    </w:p>
    <w:p w14:paraId="3621D24B" w14:textId="0677BD6D" w:rsidR="004A4F53" w:rsidRDefault="004A4F53" w:rsidP="00A51969">
      <w:pPr>
        <w:spacing w:after="0" w:line="240" w:lineRule="auto"/>
        <w:jc w:val="both"/>
        <w:rPr>
          <w:rFonts w:ascii="Arial" w:hAnsi="Arial" w:cs="Arial"/>
          <w:sz w:val="20"/>
          <w:szCs w:val="20"/>
        </w:rPr>
      </w:pPr>
      <w:r w:rsidRPr="004A4F53">
        <w:rPr>
          <w:rFonts w:ascii="Arial" w:hAnsi="Arial" w:cs="Arial"/>
          <w:sz w:val="20"/>
          <w:szCs w:val="20"/>
        </w:rPr>
        <w:t>Abstract: Small and Medium Enterprises (SMEs) in the Southeast Asian</w:t>
      </w:r>
      <w:r w:rsidR="00B50BA0">
        <w:rPr>
          <w:rFonts w:ascii="Arial" w:hAnsi="Arial" w:cs="Arial"/>
          <w:sz w:val="20"/>
          <w:szCs w:val="20"/>
        </w:rPr>
        <w:t xml:space="preserve"> </w:t>
      </w:r>
      <w:r w:rsidRPr="004A4F53">
        <w:rPr>
          <w:rFonts w:ascii="Arial" w:hAnsi="Arial" w:cs="Arial"/>
          <w:sz w:val="20"/>
          <w:szCs w:val="20"/>
        </w:rPr>
        <w:t>agribusiness sector, especially those operating transnationally between Indonesia</w:t>
      </w:r>
      <w:r w:rsidR="00B50BA0">
        <w:rPr>
          <w:rFonts w:ascii="Arial" w:hAnsi="Arial" w:cs="Arial"/>
          <w:sz w:val="20"/>
          <w:szCs w:val="20"/>
        </w:rPr>
        <w:t xml:space="preserve"> </w:t>
      </w:r>
      <w:r w:rsidRPr="004A4F53">
        <w:rPr>
          <w:rFonts w:ascii="Arial" w:hAnsi="Arial" w:cs="Arial"/>
          <w:sz w:val="20"/>
          <w:szCs w:val="20"/>
        </w:rPr>
        <w:t>and Malaysia, face complex scheduling challenges due to fragmented supply</w:t>
      </w:r>
      <w:r w:rsidR="00B50BA0">
        <w:rPr>
          <w:rFonts w:ascii="Arial" w:hAnsi="Arial" w:cs="Arial"/>
          <w:sz w:val="20"/>
          <w:szCs w:val="20"/>
        </w:rPr>
        <w:t xml:space="preserve"> </w:t>
      </w:r>
      <w:r w:rsidRPr="004A4F53">
        <w:rPr>
          <w:rFonts w:ascii="Arial" w:hAnsi="Arial" w:cs="Arial"/>
          <w:sz w:val="20"/>
          <w:szCs w:val="20"/>
        </w:rPr>
        <w:t>chains, cross-border logistics, and perishable inventory constraints. Traditional</w:t>
      </w:r>
      <w:r w:rsidR="00B50BA0">
        <w:rPr>
          <w:rFonts w:ascii="Arial" w:hAnsi="Arial" w:cs="Arial"/>
          <w:sz w:val="20"/>
          <w:szCs w:val="20"/>
        </w:rPr>
        <w:t xml:space="preserve"> </w:t>
      </w:r>
      <w:r w:rsidRPr="004A4F53">
        <w:rPr>
          <w:rFonts w:ascii="Arial" w:hAnsi="Arial" w:cs="Arial"/>
          <w:sz w:val="20"/>
          <w:szCs w:val="20"/>
        </w:rPr>
        <w:t>scheduling tools often fail to adapt dynamically, resulting in inefficiencies and</w:t>
      </w:r>
      <w:r w:rsidR="00B50BA0">
        <w:rPr>
          <w:rFonts w:ascii="Arial" w:hAnsi="Arial" w:cs="Arial"/>
          <w:sz w:val="20"/>
          <w:szCs w:val="20"/>
        </w:rPr>
        <w:t xml:space="preserve"> </w:t>
      </w:r>
      <w:r w:rsidRPr="004A4F53">
        <w:rPr>
          <w:rFonts w:ascii="Arial" w:hAnsi="Arial" w:cs="Arial"/>
          <w:sz w:val="20"/>
          <w:szCs w:val="20"/>
        </w:rPr>
        <w:t>increased waste. This study explores the deployment of Artificial Intelligence</w:t>
      </w:r>
      <w:r w:rsidR="00B50BA0">
        <w:rPr>
          <w:rFonts w:ascii="Arial" w:hAnsi="Arial" w:cs="Arial"/>
          <w:sz w:val="20"/>
          <w:szCs w:val="20"/>
        </w:rPr>
        <w:t xml:space="preserve"> </w:t>
      </w:r>
      <w:r w:rsidRPr="004A4F53">
        <w:rPr>
          <w:rFonts w:ascii="Arial" w:hAnsi="Arial" w:cs="Arial"/>
          <w:sz w:val="20"/>
          <w:szCs w:val="20"/>
        </w:rPr>
        <w:t>(AI)-based Decision Support Systems (DSS) to optimize scheduling processes in</w:t>
      </w:r>
      <w:r w:rsidR="00B50BA0">
        <w:rPr>
          <w:rFonts w:ascii="Arial" w:hAnsi="Arial" w:cs="Arial"/>
          <w:sz w:val="20"/>
          <w:szCs w:val="20"/>
        </w:rPr>
        <w:t xml:space="preserve"> </w:t>
      </w:r>
      <w:r w:rsidRPr="004A4F53">
        <w:rPr>
          <w:rFonts w:ascii="Arial" w:hAnsi="Arial" w:cs="Arial"/>
          <w:sz w:val="20"/>
          <w:szCs w:val="20"/>
        </w:rPr>
        <w:t>agribusiness SMEs. Focusing on a transnational case study involving a</w:t>
      </w:r>
      <w:r w:rsidR="00B50BA0">
        <w:rPr>
          <w:rFonts w:ascii="Arial" w:hAnsi="Arial" w:cs="Arial"/>
          <w:sz w:val="20"/>
          <w:szCs w:val="20"/>
        </w:rPr>
        <w:t xml:space="preserve"> </w:t>
      </w:r>
      <w:r w:rsidRPr="004A4F53">
        <w:rPr>
          <w:rFonts w:ascii="Arial" w:hAnsi="Arial" w:cs="Arial"/>
          <w:sz w:val="20"/>
          <w:szCs w:val="20"/>
        </w:rPr>
        <w:t>collaboration between dairy cooperatives in East Java, Indonesia and distribution</w:t>
      </w:r>
      <w:r w:rsidR="00B50BA0">
        <w:rPr>
          <w:rFonts w:ascii="Arial" w:hAnsi="Arial" w:cs="Arial"/>
          <w:sz w:val="20"/>
          <w:szCs w:val="20"/>
        </w:rPr>
        <w:t xml:space="preserve"> </w:t>
      </w:r>
      <w:r w:rsidRPr="004A4F53">
        <w:rPr>
          <w:rFonts w:ascii="Arial" w:hAnsi="Arial" w:cs="Arial"/>
          <w:sz w:val="20"/>
          <w:szCs w:val="20"/>
        </w:rPr>
        <w:t>networks in Johor, Malaysia, the paper illustrates how AI-driven forecasting and</w:t>
      </w:r>
      <w:r w:rsidR="00B50BA0">
        <w:rPr>
          <w:rFonts w:ascii="Arial" w:hAnsi="Arial" w:cs="Arial"/>
          <w:sz w:val="20"/>
          <w:szCs w:val="20"/>
        </w:rPr>
        <w:t xml:space="preserve"> </w:t>
      </w:r>
      <w:r w:rsidRPr="004A4F53">
        <w:rPr>
          <w:rFonts w:ascii="Arial" w:hAnsi="Arial" w:cs="Arial"/>
          <w:sz w:val="20"/>
          <w:szCs w:val="20"/>
        </w:rPr>
        <w:t>scheduling improved delivery accuracy, reduced spoilage rates, and aligned</w:t>
      </w:r>
      <w:r w:rsidR="00B50BA0">
        <w:rPr>
          <w:rFonts w:ascii="Arial" w:hAnsi="Arial" w:cs="Arial"/>
          <w:sz w:val="20"/>
          <w:szCs w:val="20"/>
        </w:rPr>
        <w:t xml:space="preserve"> </w:t>
      </w:r>
      <w:r w:rsidRPr="004A4F53">
        <w:rPr>
          <w:rFonts w:ascii="Arial" w:hAnsi="Arial" w:cs="Arial"/>
          <w:sz w:val="20"/>
          <w:szCs w:val="20"/>
        </w:rPr>
        <w:t>cross-border operations. The proposed modular AI architecture leverages</w:t>
      </w:r>
      <w:r w:rsidR="00B50BA0">
        <w:rPr>
          <w:rFonts w:ascii="Arial" w:hAnsi="Arial" w:cs="Arial"/>
          <w:sz w:val="20"/>
          <w:szCs w:val="20"/>
        </w:rPr>
        <w:t xml:space="preserve"> </w:t>
      </w:r>
      <w:r w:rsidRPr="004A4F53">
        <w:rPr>
          <w:rFonts w:ascii="Arial" w:hAnsi="Arial" w:cs="Arial"/>
          <w:sz w:val="20"/>
          <w:szCs w:val="20"/>
        </w:rPr>
        <w:t>machine learning algorithms, predictive analytics, and IoT-based real-time inputs</w:t>
      </w:r>
      <w:r w:rsidR="00B50BA0">
        <w:rPr>
          <w:rFonts w:ascii="Arial" w:hAnsi="Arial" w:cs="Arial"/>
          <w:sz w:val="20"/>
          <w:szCs w:val="20"/>
        </w:rPr>
        <w:t xml:space="preserve"> </w:t>
      </w:r>
      <w:r w:rsidRPr="004A4F53">
        <w:rPr>
          <w:rFonts w:ascii="Arial" w:hAnsi="Arial" w:cs="Arial"/>
          <w:sz w:val="20"/>
          <w:szCs w:val="20"/>
        </w:rPr>
        <w:t>to adapt to dynamic agricultural environments. Results from field</w:t>
      </w:r>
      <w:r w:rsidR="00B50BA0">
        <w:rPr>
          <w:rFonts w:ascii="Arial" w:hAnsi="Arial" w:cs="Arial"/>
          <w:sz w:val="20"/>
          <w:szCs w:val="20"/>
        </w:rPr>
        <w:t xml:space="preserve"> </w:t>
      </w:r>
      <w:r w:rsidRPr="004A4F53">
        <w:rPr>
          <w:rFonts w:ascii="Arial" w:hAnsi="Arial" w:cs="Arial"/>
          <w:sz w:val="20"/>
          <w:szCs w:val="20"/>
        </w:rPr>
        <w:t>implementation showed a 32% reduction in scheduling deviations and a 28%</w:t>
      </w:r>
      <w:r w:rsidR="00B50BA0">
        <w:rPr>
          <w:rFonts w:ascii="Arial" w:hAnsi="Arial" w:cs="Arial"/>
          <w:sz w:val="20"/>
          <w:szCs w:val="20"/>
        </w:rPr>
        <w:t xml:space="preserve"> </w:t>
      </w:r>
      <w:r w:rsidRPr="004A4F53">
        <w:rPr>
          <w:rFonts w:ascii="Arial" w:hAnsi="Arial" w:cs="Arial"/>
          <w:sz w:val="20"/>
          <w:szCs w:val="20"/>
        </w:rPr>
        <w:t>increase in demand prediction accuracy. The case study underscores AI’s</w:t>
      </w:r>
      <w:r w:rsidR="00B50BA0">
        <w:rPr>
          <w:rFonts w:ascii="Arial" w:hAnsi="Arial" w:cs="Arial"/>
          <w:sz w:val="20"/>
          <w:szCs w:val="20"/>
        </w:rPr>
        <w:t xml:space="preserve"> </w:t>
      </w:r>
      <w:r w:rsidRPr="004A4F53">
        <w:rPr>
          <w:rFonts w:ascii="Arial" w:hAnsi="Arial" w:cs="Arial"/>
          <w:sz w:val="20"/>
          <w:szCs w:val="20"/>
        </w:rPr>
        <w:t>transformative potential in improving operational resilience and sustainability for</w:t>
      </w:r>
      <w:r w:rsidR="00B50BA0">
        <w:rPr>
          <w:rFonts w:ascii="Arial" w:hAnsi="Arial" w:cs="Arial"/>
          <w:sz w:val="20"/>
          <w:szCs w:val="20"/>
        </w:rPr>
        <w:t xml:space="preserve"> </w:t>
      </w:r>
      <w:r w:rsidRPr="004A4F53">
        <w:rPr>
          <w:rFonts w:ascii="Arial" w:hAnsi="Arial" w:cs="Arial"/>
          <w:sz w:val="20"/>
          <w:szCs w:val="20"/>
        </w:rPr>
        <w:t>agribusiness SMEs in the ASEAN region, contributing to regional food security</w:t>
      </w:r>
      <w:r w:rsidR="00B50BA0">
        <w:rPr>
          <w:rFonts w:ascii="Arial" w:hAnsi="Arial" w:cs="Arial"/>
          <w:sz w:val="20"/>
          <w:szCs w:val="20"/>
        </w:rPr>
        <w:t xml:space="preserve"> </w:t>
      </w:r>
      <w:r w:rsidRPr="004A4F53">
        <w:rPr>
          <w:rFonts w:ascii="Arial" w:hAnsi="Arial" w:cs="Arial"/>
          <w:sz w:val="20"/>
          <w:szCs w:val="20"/>
        </w:rPr>
        <w:t>and competitive parity within global markets.</w:t>
      </w:r>
    </w:p>
    <w:p w14:paraId="2A87F50C" w14:textId="77777777" w:rsidR="004A4F53" w:rsidRPr="009333B4" w:rsidRDefault="004A4F53" w:rsidP="00A51969">
      <w:pPr>
        <w:spacing w:after="0" w:line="240" w:lineRule="auto"/>
        <w:jc w:val="both"/>
        <w:rPr>
          <w:rFonts w:ascii="Arial" w:hAnsi="Arial" w:cs="Arial"/>
          <w:sz w:val="20"/>
          <w:szCs w:val="20"/>
        </w:rPr>
      </w:pPr>
    </w:p>
    <w:p w14:paraId="6C677AD4" w14:textId="223B9F11"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Edita Rosana Widasari, Praditya Trido and Barlian Henryranu Prasetio. Resource-Efficient Edge AI for EMG-Based Bionic Prosthetic Hand Gesture Recognition Using a Lightweight CNN</w:t>
      </w:r>
    </w:p>
    <w:p w14:paraId="58E01318" w14:textId="31E25AA9"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Resource-efficient edge artificial intelligence is essential for enabling responsive, portable, and low-cost bionic prosthetic hand control. This study develops an electromyography-based hand gesture recognition system using a lightweight one-dimensional convolutional neural network deployed on an ESP32-S3 microcontroller. Eight-channel electromyography signals were acquired using an OYMotion gForce200 armband from fifteen healthy subjects performing ten prosthetic hand gestures, with ten subjects used for model development and five independent subjects used for real-time embedded testing. The signals were processed using windowing, full-wave rectification, moving root mean square, normalization, and Spatio-Temporal Feature Set representation before classification. Model-level offline evaluation achieved 97.55% accuracy, 97.57% precision, 97.58% recall, and 97.54% F1-score, indicating balanced recognition across gesture classes. System-level real-time embedded testing achieved 84% accuracy across five independent subjects, with an average inference time of 58.4 ms per window. The deployed system used 581,737 bytes of flash memory and 38,464 bytes of SRAM, while retaining approximately 353,116 bytes of dynamic heap memory. These results </w:t>
      </w:r>
      <w:r w:rsidR="00C072F1" w:rsidRPr="00C072F1">
        <w:rPr>
          <w:rFonts w:ascii="Arial" w:hAnsi="Arial" w:cs="Arial"/>
          <w:sz w:val="20"/>
          <w:szCs w:val="20"/>
        </w:rPr>
        <w:lastRenderedPageBreak/>
        <w:t>indicate that compact feature representation and lightweight convolutional neural network design can balance accuracy, latency, and memory efficiency for near real-time prosthetic control. The system supports sustainable and portable assistive technology, although further validation with amputee users is required.</w:t>
      </w:r>
    </w:p>
    <w:p w14:paraId="580E9780" w14:textId="77777777" w:rsidR="00627BDA" w:rsidRDefault="00627BDA" w:rsidP="00A51969">
      <w:pPr>
        <w:spacing w:after="0" w:line="240" w:lineRule="auto"/>
        <w:jc w:val="both"/>
        <w:rPr>
          <w:rFonts w:ascii="Arial" w:hAnsi="Arial" w:cs="Arial"/>
          <w:sz w:val="20"/>
          <w:szCs w:val="20"/>
        </w:rPr>
      </w:pPr>
    </w:p>
    <w:p w14:paraId="27497821" w14:textId="5F90FB89"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Barlian Henryranu Prasetio and Muhammad Sulthon Imam Puro. Breath Sound Spectral Analysis for Respitory Disease Detection</w:t>
      </w:r>
    </w:p>
    <w:p w14:paraId="48925FDB" w14:textId="0F0F1B02"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Respiratory disease is one of the most common health problems and is the biggest cause of death throughout the world. Respiratory diseases such as asthma, pneumonia and COPD are examples of the types of respiratory diseases that are often experienced. These diseases can interfere with activities and cause a decrease in quality of life. There are several procedures that can be done to diagnose someone suffering from respiratory disease, one of which is auscultation. Auscultation is a procedure to check lung health by identifying breathing sounds. However, in practice it requires knowledge and experience to be able to recognize and identify abnormal sounds in a patient's breathing. It is not uncommon for cases of misdiagnosis to occur due to lack of ability in auscultation. Moreover, with the use of a conventional stethoscope, the auscultation procedure can only be carried out at the same time without being able to play back the sound and can only be carried out by one user. So, to overcome this problem, this research designed a respiratory disease detection system based on breathing sounds. This research uses sound spectral analysis to identify respiratory sounds and obtain sound spectrum values for each respiratory disease sound as well as the Support Vector Machine classification model to carry out the classification process. After testing, the accuracy rate obtained by this respiratory disease detection system reached 78%.</w:t>
      </w:r>
    </w:p>
    <w:p w14:paraId="4BB9514C" w14:textId="77777777" w:rsidR="00627BDA" w:rsidRDefault="00627BDA" w:rsidP="00A51969">
      <w:pPr>
        <w:spacing w:after="0" w:line="240" w:lineRule="auto"/>
        <w:jc w:val="both"/>
        <w:rPr>
          <w:rFonts w:ascii="Arial" w:hAnsi="Arial" w:cs="Arial"/>
          <w:sz w:val="20"/>
          <w:szCs w:val="20"/>
        </w:rPr>
      </w:pPr>
    </w:p>
    <w:p w14:paraId="3274348B" w14:textId="42D6F672"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Mahendra Data. Combating Imbalanced Data in the Internet of Things Intrusion Detection Systems: A Cascade Model Approach</w:t>
      </w:r>
    </w:p>
    <w:p w14:paraId="2F108620" w14:textId="7C0BCA63"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In the face of evolving and increasingly sophisticated cyber attacks in the Internet of Things (IoT) environment, effective and robust Intrusion Detection Systems (IDSs) are crucial for safeguarding industrial and critical IoT infrastructure.</w:t>
      </w:r>
    </w:p>
    <w:p w14:paraId="27F633FF" w14:textId="77777777"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However, developing reliable and accurate intrusion detection models is challenging, particularly when dealing with imbalanced data that are characteristic of real-world IoT network attack traffic.</w:t>
      </w:r>
    </w:p>
    <w:p w14:paraId="2B358439" w14:textId="77777777"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To address these challenges, we proposed a Cascade Model, a comprehensive and robust approach that effectively addresses the challenges associated with training intrusion detection models on imbalanced data.</w:t>
      </w:r>
    </w:p>
    <w:p w14:paraId="3F1E363B" w14:textId="77777777"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Our innovative approach leverages a cascade of specialized classifiers to distinguish between normal and malicious network traffic effectively while maintaining high detection accuracy across a wide range of diverse attack categories.</w:t>
      </w:r>
    </w:p>
    <w:p w14:paraId="05133FC4" w14:textId="77777777"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Furthermore, we employ feature selection and various innovative sampling techniques to enhance the overall performance of the proposed model even further.</w:t>
      </w:r>
    </w:p>
    <w:p w14:paraId="4E81FCDF" w14:textId="77777777"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We evaluated our proposed Cascade Model approach using the comprehensive and up-to-date TON-IoT dataset, a widely recognized benchmark for intrusion detection research in IoT environments.</w:t>
      </w:r>
    </w:p>
    <w:p w14:paraId="6BCED977" w14:textId="77777777"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The experimental results demonstrate that our Cascade Model approach outperforms single model training approaches in accurately differentiating between normal and attack network traffic, while also effectively identifying a broad spectrum of attacks, even in the presence of highly imbalanced data distributions.</w:t>
      </w:r>
    </w:p>
    <w:p w14:paraId="43B48801" w14:textId="77777777" w:rsidR="00627BDA" w:rsidRDefault="00627BDA" w:rsidP="00A51969">
      <w:pPr>
        <w:spacing w:after="0" w:line="240" w:lineRule="auto"/>
        <w:jc w:val="both"/>
        <w:rPr>
          <w:rFonts w:ascii="Arial" w:hAnsi="Arial" w:cs="Arial"/>
          <w:sz w:val="20"/>
          <w:szCs w:val="20"/>
        </w:rPr>
      </w:pPr>
    </w:p>
    <w:p w14:paraId="79799DFE" w14:textId="1F70C14E"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Lailil Muflikhah, Galih Restu Baihaqi, Achmad Ridok and Sri Soenarti. Alzheimer's Classification Using Resnet50 Architecture with Ghost Weight Normalization</w:t>
      </w:r>
    </w:p>
    <w:p w14:paraId="49AF0B8A" w14:textId="63916FCD"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Alzheimer's disease is one of the most challenging diseases in healthcare, especially with the increasing elderly population around the world. Detection of Alzheimer's disease is crucial for early diagnosis for more effective treatment of Alzheimer's disease. However, the disease is often non-specific and almost resembles other neurological diseases. Recently, Deep Learning approach </w:t>
      </w:r>
      <w:proofErr w:type="gramStart"/>
      <w:r w:rsidR="00C072F1" w:rsidRPr="00C072F1">
        <w:rPr>
          <w:rFonts w:ascii="Arial" w:hAnsi="Arial" w:cs="Arial"/>
          <w:sz w:val="20"/>
          <w:szCs w:val="20"/>
        </w:rPr>
        <w:t>is</w:t>
      </w:r>
      <w:proofErr w:type="gramEnd"/>
      <w:r w:rsidR="00C072F1" w:rsidRPr="00C072F1">
        <w:rPr>
          <w:rFonts w:ascii="Arial" w:hAnsi="Arial" w:cs="Arial"/>
          <w:sz w:val="20"/>
          <w:szCs w:val="20"/>
        </w:rPr>
        <w:t xml:space="preserve"> widely used for classification process on medical data. However, to use Deep learning on medical data, we need a model that provides high accuracy to ensure accuracy. The dataset used is 3D MRI image data obtained from the Image &amp; Data Archive (IDA) managed by the Laboratory of Neuro Imaging (LONI). The model used to perform the classification process is the Resnet50 model modified by changing the normalization batch using the Ghost Weight Normalization (GWN) layer which works by breaking the whole weight into several parts to be normalized and recombined into the original weight so as to provide a lot of variation in the normalization process. The Resnet50 model modified using the GWN layer provides higher accuracy with 97% accuracy with a training time of 1 hour and 3 minutes compared to other models such as traditional CNN, traditional resnet50 and modified resnet50 but without GWN with 95%, 96% and 95% accuracy respectively and the training time is 59 minutes, 1 hour and 5 minutes, and 1 hour and 3 minutes respectively. Although Traditional CNN produces faster training time, the accuracy produced is still below the Resnet50 model modified using GWN.</w:t>
      </w:r>
    </w:p>
    <w:p w14:paraId="473EF5B1" w14:textId="77777777" w:rsidR="00627BDA" w:rsidRDefault="00627BDA" w:rsidP="00A51969">
      <w:pPr>
        <w:spacing w:after="0" w:line="240" w:lineRule="auto"/>
        <w:jc w:val="both"/>
        <w:rPr>
          <w:rFonts w:ascii="Arial" w:hAnsi="Arial" w:cs="Arial"/>
          <w:sz w:val="20"/>
          <w:szCs w:val="20"/>
        </w:rPr>
      </w:pPr>
    </w:p>
    <w:p w14:paraId="5B5A871F" w14:textId="7FD270D1"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lastRenderedPageBreak/>
        <w:t>Louis Irwan, Michael Angelus and Devyano Luhukay. A Systematic Literature Review of Machine Learning and Deep Learning Approaches for Credit Card Fraud Detection: Focus on Dataset Generalizability</w:t>
      </w:r>
    </w:p>
    <w:p w14:paraId="3AFE8FDF" w14:textId="4F90B62A"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Abstract— Fraudulent credit card transactions are a growing risk to financial systems worldwide. Hence, there is increased interest in the use of machine learning (ML) and deep learning (DL) approaches for fraud detection. In this paper we present a Systematic Literature Review (SLR) of 45 open access studies published in the period 2020-2025 that investigate model adoption, dataset usage, strategies for dealing with class imbalance, and the effects of multi-dataset evaluation on model generalizability. The review showed that ML based approaches are still the most adopted category (49%), with Random Forest being the most frequently occurring algorithm, followed by DL (35%) and hybrid ML+DL architectures (16%). The datasets analysis showed that 75% of the studies were done using the ULB/Kaggle European Credit Card Fraud Dataset and 64% of the studies used a single dataset for evaluation. The most common method to deal with class imbalance was data-level resampling (62%) and 25% of the studies did not apply any explicit strategy. The cross-dataset generalizability analysis, a key contribution of this review, examined 16 multi-dataset studies and found the variation of performance across datasets to be the most common pattern, with evidence for the optimal choice of model being dataset-dependent. These findings suggest that single-dataset evaluation, which is descriptive of most of the literature, is not sufficient to prove model generalizability, and future work should focus on multi-dataset evaluation and creating more diverse public benchmarks.</w:t>
      </w:r>
    </w:p>
    <w:p w14:paraId="04D8CBCF" w14:textId="77777777" w:rsidR="00627BDA" w:rsidRPr="0009073A" w:rsidRDefault="00627BDA" w:rsidP="00A51969">
      <w:pPr>
        <w:spacing w:after="0" w:line="240" w:lineRule="auto"/>
        <w:jc w:val="both"/>
        <w:rPr>
          <w:rFonts w:ascii="Arial" w:hAnsi="Arial" w:cs="Arial"/>
          <w:sz w:val="20"/>
          <w:szCs w:val="20"/>
          <w:lang w:val="en-US"/>
        </w:rPr>
      </w:pPr>
    </w:p>
    <w:p w14:paraId="52E22F29" w14:textId="55645334"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lang w:val="sv-SE"/>
        </w:rPr>
        <w:t xml:space="preserve">Eko Sakti Pramukantoro, Kasyful Amron, Rizal Setya Perdana and Dany Primanita Kartikasari. </w:t>
      </w:r>
      <w:r w:rsidRPr="00C072F1">
        <w:rPr>
          <w:rFonts w:ascii="Arial" w:hAnsi="Arial" w:cs="Arial"/>
          <w:sz w:val="20"/>
          <w:szCs w:val="20"/>
        </w:rPr>
        <w:t>REST vs. GraphQL for High-Frequency ECG Data Delivery: An Empirical Benchmark in Healthcare IoT</w:t>
      </w:r>
    </w:p>
    <w:p w14:paraId="4A3806DE" w14:textId="61B9652A"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Healthcare Internet of Things (IoT) deployments increasingly rely on web services to transmit high-frequency physiological data at scale, yet rigorous domain-specific performance evidence for selecting API architectures remains scarce. This paper presents an empirical comparison of Representational State Transfer (REST) and GraphQL for electrocardiogram (ECG) data delivery using real 60-second recordings sampled at 250 Hz (15,000 data points per session). Both architectures were implemented using Express.js with a MongoDB backend and evaluated under exponentially scaled concurrent loads (2^1–2^10 users) via Apache JMeter, measuring response time, throughput, CPU utilization, and memory consumption.</w:t>
      </w:r>
    </w:p>
    <w:p w14:paraId="626C5DB8" w14:textId="77777777"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Results show that the architectures are context-dependent rather than universally ranked. For read-heavy retrieval of large ECG payloads, GraphQL GET consistently outperforms REST GET: 49% lower mean response time (2,927 ms vs. 5,752 ms at 1,024 concurrent users), 26% higher throughput (117.20 vs. 93.18 req/s), and 24% lower memory consumption—gains driven specifically by selective field retrieval that avoids over-fetching on large, schema-rich documents. At low concurrency (&lt;64 users) the two are comparable, and REST exhibits an 8.6% lower initial CPU footprint together with a simpler codebase. POST-Stream writes operations degraded severely in both architectures (response times exceeding 100,000 ms; &gt;93% throughput collapse); we attribute this primarily to a methodological mismatch—complete 60-second bulk payloads were delivered to streaming endpoints instead of incremental real-time chunks—so these results bound bulk-upload behaviour rather than true streaming performance. We therefore recommend GraphQL GET for high-concurrency retrieval of large ECG records, REST GET for low-concurrency or development-speed-constrained deployments, and suggest persistent-connection protocols (e.g., WebSocket, gRPC) over HTTP POST as a promising direction for high-frequency batch and real-time writes, warranting dedicated empirical evaluation.</w:t>
      </w:r>
    </w:p>
    <w:p w14:paraId="4840FB97" w14:textId="77777777" w:rsidR="00627BDA" w:rsidRDefault="00627BDA" w:rsidP="00A51969">
      <w:pPr>
        <w:spacing w:after="0" w:line="240" w:lineRule="auto"/>
        <w:jc w:val="both"/>
        <w:rPr>
          <w:rFonts w:ascii="Arial" w:hAnsi="Arial" w:cs="Arial"/>
          <w:sz w:val="20"/>
          <w:szCs w:val="20"/>
        </w:rPr>
      </w:pPr>
    </w:p>
    <w:p w14:paraId="72544B56" w14:textId="0C0F767B"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Veronica Veronica, Harco Leslie Hendric Spits Warnars, Yohannes Kurniawan and Harjanto Prabowo. Key Implementation Factors for Generative Artificial Intelligence (GenAI) in Knowledge Work: Productivity, Work Transformation, and Governance Perspectives</w:t>
      </w:r>
    </w:p>
    <w:p w14:paraId="26DB06DF" w14:textId="42785725"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Generative Artificial Intelligence (GenAI) is increasingly embedded in organizational work to produce, analyze, evaluate and manage information. Previous studies show that GenAI can enhance productivity through content generation, information summarization, decision support, and knowledge management. However, the GenAI adoption in the organization also changes the nature of knowledge work by reshaping task execution, effort distribution, specialization, communication, and governance. This study explores the key aspects related to GenAI implementation in knowledge work within organizational context. A literature search was conducted using the Scopus database, focusing on relevant publications from 2023 to 2026. The initial search identified 474 articles, which were reduced to 446 after deduplication. After applying inclusion criteria, 273 articles remained, and title and abstract screening reduced the number to 73 articles became relevant. Ultimately, 27 articles were selected for synthesis. The analysis identified 18 key aspects of GenAI implementation, grouped into three dimensions: Smart Productivity, Smart Work Transformation, and Smart Governance and Control. The findings suggest that GenAI implementation requires not only productivity improvement but also task compatibility, domain expertise, information quality, human oversight, prompting capabilities, role transformation, risk governance, and AI.</w:t>
      </w:r>
    </w:p>
    <w:p w14:paraId="32CBB6BC" w14:textId="77777777" w:rsidR="00627BDA" w:rsidRDefault="00627BDA" w:rsidP="00A51969">
      <w:pPr>
        <w:spacing w:after="0" w:line="240" w:lineRule="auto"/>
        <w:jc w:val="both"/>
        <w:rPr>
          <w:rFonts w:ascii="Arial" w:hAnsi="Arial" w:cs="Arial"/>
          <w:sz w:val="20"/>
          <w:szCs w:val="20"/>
        </w:rPr>
      </w:pPr>
    </w:p>
    <w:p w14:paraId="3BA370C1" w14:textId="00009E76"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lastRenderedPageBreak/>
        <w:t xml:space="preserve">Cynthia Claryca, Michelle Angelina, Kelly Kumoro and Darusalam Darusalam. The Influence </w:t>
      </w:r>
      <w:proofErr w:type="gramStart"/>
      <w:r w:rsidRPr="00C072F1">
        <w:rPr>
          <w:rFonts w:ascii="Arial" w:hAnsi="Arial" w:cs="Arial"/>
          <w:sz w:val="20"/>
          <w:szCs w:val="20"/>
        </w:rPr>
        <w:t>Of</w:t>
      </w:r>
      <w:proofErr w:type="gramEnd"/>
      <w:r w:rsidRPr="00C072F1">
        <w:rPr>
          <w:rFonts w:ascii="Arial" w:hAnsi="Arial" w:cs="Arial"/>
          <w:sz w:val="20"/>
          <w:szCs w:val="20"/>
        </w:rPr>
        <w:t xml:space="preserve"> Artificial Intelligence Adoption on Audit Quality with Technology Acceptance Factors as determinants</w:t>
      </w:r>
    </w:p>
    <w:p w14:paraId="08296A7E" w14:textId="1C50A948"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Artificial intelligence (AI) innovation has revolutionized the field of auditing through enhancing data analytics, detecting anomalies, and increasing auditing efficiency. Nevertheless, little attention has been given on the effects of the various technological acceptance factors on the use of AI and the resultant audit quality, especially in the context of emerging economies like Indonesia. This study is thus set out to explore the effect of AI adoption on audit quality where Perceived Ease of Use (PEU) and Perceived Usefulness (PU) are considered the main technological acceptance determinants. To achieve this objective, the quantitative research design was adopted whereby the study participants were selected using the online questionnaire administered to auditors in Public Accounting firms in Indonesia. A total of 326 auditors participated in the study, and their responses were analyzed using Structural Equation Modeling – Partial Least Square (SEM-PLS). Results indicate that Perceived Usefulness significantly positively affects audit quality whereas Perceived Ease of Use does not have a significant direct effect on audit quality. The study thus makes an empirical contribution to the field of literature through its ability to incorporate AI adoption, factors of TAM model, and audit quality within one framework. From a practical perspective, the results give an insight that will help accounting firms focus on illustrating the tangible benefits of using AI in audits and training their auditors accordingly. Further research could be done on other factors that affect audit quality like auditor competence and trust in AI models.</w:t>
      </w:r>
    </w:p>
    <w:p w14:paraId="21C2AB73" w14:textId="77777777" w:rsidR="00627BDA" w:rsidRDefault="00627BDA" w:rsidP="00A51969">
      <w:pPr>
        <w:spacing w:after="0" w:line="240" w:lineRule="auto"/>
        <w:jc w:val="both"/>
        <w:rPr>
          <w:rFonts w:ascii="Arial" w:hAnsi="Arial" w:cs="Arial"/>
          <w:sz w:val="20"/>
          <w:szCs w:val="20"/>
        </w:rPr>
      </w:pPr>
    </w:p>
    <w:p w14:paraId="37E7171A" w14:textId="4C2E2808"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Gideon Mekonnen Jonathan, Parisa Aasi, Sileshi Demesie Yalew and Erik Perjons. Data Sovereignty and the Hidden Barriers to Generative AI Adoption in the Public Sector</w:t>
      </w:r>
    </w:p>
    <w:p w14:paraId="376E042E" w14:textId="4F40E7EB"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Generative artificial intelligence (GenAI) offers public-sector organisations substantial opportunities to improve services, yet its adoption is shaped by governance concerns—particularly data sovereignty. This study develops and empirically tests a governance-oriented model explaining how data sovereignty influences GenAI adoption and public value outcomes in public-sector organisations. Integrating the Technology–Organisation–Environment framework, Digital Governance Theory, and Public Value Theory, data sovereignty is conceptualised as a higher-order construct comprising control over public data, compliance and accountability, infrastructure and interoperability, and strategic autonomy. Using Partial Least Squares Structural Equation Modelling (PLS-SEM) on survey data from 228 public-sector professionals, the study finds that data sovereignty significantly increases organisational constraint mechanisms, which in turn reduce GenAI adoption, while adoption strongly predicts public value. The effect of data sovereignty on adoption is fully mediated and negative, whereas the hypothesised direct enabling effect and the moderating role of digital governance capability are not supported. These findings provide empirical evidence of a governance paradox in which the controls required to secure public data simultaneously constrain the innovation they are intended to enable.</w:t>
      </w:r>
    </w:p>
    <w:p w14:paraId="12215C1D" w14:textId="77777777" w:rsidR="00057245" w:rsidRDefault="00057245" w:rsidP="00A51969">
      <w:pPr>
        <w:spacing w:after="0" w:line="240" w:lineRule="auto"/>
        <w:jc w:val="both"/>
        <w:rPr>
          <w:rFonts w:ascii="Arial" w:hAnsi="Arial" w:cs="Arial"/>
          <w:sz w:val="20"/>
          <w:szCs w:val="20"/>
        </w:rPr>
      </w:pPr>
    </w:p>
    <w:p w14:paraId="12A33A58" w14:textId="7FDE66F9"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Anis Amna, Seppe Vanden Broucke and Geert Poels. Operationalizing the AmbiTRUS framework in User Story Ambiguity Analysis</w:t>
      </w:r>
    </w:p>
    <w:p w14:paraId="1B020F72" w14:textId="1C99E965"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Ambiguity is a complex yet common problem in natural language (NL)-based re-quirements. Despite this, several requirements quality frameworks address ambi-guity as a single quality criterion, which is not sufficient to address the various forms of ambiguity that exist. To tackle this issue, a user story quality framework named AmbiTRUS has been proposed to identify ambiguity in user stories. How-ever, a preliminary study revealed that applying the framework without tool </w:t>
      </w:r>
      <w:proofErr w:type="gramStart"/>
      <w:r w:rsidR="00C072F1" w:rsidRPr="00C072F1">
        <w:rPr>
          <w:rFonts w:ascii="Arial" w:hAnsi="Arial" w:cs="Arial"/>
          <w:sz w:val="20"/>
          <w:szCs w:val="20"/>
        </w:rPr>
        <w:t>sup-port</w:t>
      </w:r>
      <w:proofErr w:type="gramEnd"/>
      <w:r w:rsidR="00C072F1" w:rsidRPr="00C072F1">
        <w:rPr>
          <w:rFonts w:ascii="Arial" w:hAnsi="Arial" w:cs="Arial"/>
          <w:sz w:val="20"/>
          <w:szCs w:val="20"/>
        </w:rPr>
        <w:t xml:space="preserve"> was not effective, prompting the exploration of NLP techniques to enhance it. The paper </w:t>
      </w:r>
      <w:proofErr w:type="gramStart"/>
      <w:r w:rsidR="00C072F1" w:rsidRPr="00C072F1">
        <w:rPr>
          <w:rFonts w:ascii="Arial" w:hAnsi="Arial" w:cs="Arial"/>
          <w:sz w:val="20"/>
          <w:szCs w:val="20"/>
        </w:rPr>
        <w:t>describe</w:t>
      </w:r>
      <w:proofErr w:type="gramEnd"/>
      <w:r w:rsidR="00C072F1" w:rsidRPr="00C072F1">
        <w:rPr>
          <w:rFonts w:ascii="Arial" w:hAnsi="Arial" w:cs="Arial"/>
          <w:sz w:val="20"/>
          <w:szCs w:val="20"/>
        </w:rPr>
        <w:t xml:space="preserve"> the development of the AmbiTRUS tool, which operation-alizes the AmbiTRUS framework, to identify ambiguity in a set of user stories. The paper aims to provide a practical solution for early-career requirements engi-neers and business analysts, building awareness of different manifestations of ambiguity problems. A usability testing involving practitioners was conducted to assess the perceived effectiveness and usability of the tool in identifying and re-fining ambiguous user stories. The results indicate positive feedback from users, showing that the tool makes it easier to identify ambiguity in user stories.</w:t>
      </w:r>
    </w:p>
    <w:p w14:paraId="7CAA7426" w14:textId="77777777" w:rsidR="00057245" w:rsidRDefault="00057245" w:rsidP="00A51969">
      <w:pPr>
        <w:spacing w:after="0" w:line="240" w:lineRule="auto"/>
        <w:jc w:val="both"/>
        <w:rPr>
          <w:rFonts w:ascii="Arial" w:hAnsi="Arial" w:cs="Arial"/>
          <w:sz w:val="20"/>
          <w:szCs w:val="20"/>
        </w:rPr>
      </w:pPr>
    </w:p>
    <w:p w14:paraId="39175B36" w14:textId="24D78F8A"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Brigitta Susilo, Aissyah Sari, Nurminanda Faustine, Nadia Alysia and Desi Christiani. The Impact of Artificial Intelligence Knowledge and Perception on Accounting Students’ Career Readiness in the Digital Era</w:t>
      </w:r>
    </w:p>
    <w:p w14:paraId="5012F571" w14:textId="036C2B50"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The swift advancement of artificial intelligence is changing the accounting field and generating new requirements for upcoming accountants. As technology progresses and transforms workplace practices, accounting students need to cultivate the skills necessary to thrive in a digital environment. This research intends to in-vestigate how AI understanding and AI views affect the career preparedness of accounting students within a digital and AI-oriented work setting. This research utilized a quantitative method by gathering data via surveys given to accounting students in Indonesia and examining the data using Partial Least Squares Struc-tural Equation Modeling with SmartPLS as the analytical tool. The findings show that knowledge of AI positively impacts career readiness, while AI perception does not significantly affect it, indicating that students’ readiness for careers is more shaped by their comprehension of AI than by their views on it. The re-search adds to the body of work on technology adoption and professional growth in accounting.</w:t>
      </w:r>
    </w:p>
    <w:p w14:paraId="7E384B66" w14:textId="77777777" w:rsidR="00057245" w:rsidRPr="0009073A" w:rsidRDefault="00057245" w:rsidP="00A51969">
      <w:pPr>
        <w:spacing w:after="0" w:line="240" w:lineRule="auto"/>
        <w:jc w:val="both"/>
        <w:rPr>
          <w:rFonts w:ascii="Arial" w:hAnsi="Arial" w:cs="Arial"/>
          <w:sz w:val="20"/>
          <w:szCs w:val="20"/>
          <w:lang w:val="en-US"/>
        </w:rPr>
      </w:pPr>
    </w:p>
    <w:p w14:paraId="025ECD31" w14:textId="3236DFE6"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lang w:val="sv-SE"/>
        </w:rPr>
        <w:t xml:space="preserve">Gideon Mekonnen Jonathan, Parisa Aasi and Erik Perjons. </w:t>
      </w:r>
      <w:r w:rsidRPr="00C072F1">
        <w:rPr>
          <w:rFonts w:ascii="Arial" w:hAnsi="Arial" w:cs="Arial"/>
          <w:sz w:val="20"/>
          <w:szCs w:val="20"/>
        </w:rPr>
        <w:t>Health Misinformation Susceptibility and Health Behaviour in Developing Countries: A PLS-SEM Study</w:t>
      </w:r>
    </w:p>
    <w:p w14:paraId="09F27BD0" w14:textId="3EFA2664"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Digital platforms have widened access to health information but also accelerated the spread of health misinformation, a challenge that is especially acute in developing countries with fragile health systems and lower institutional trust. Prior research has largely examined the determinants of misinformation in isolation and has drawn predominantly on high-income settings, leaving little understanding of how institutional, social, cultural, and technological factors jointly shape susceptibility to misinformation and subsequent health behaviour. Drawing on a sociotechnical perspective, this study develops and tests a model of health misinformation susceptibility and its consequences for positive health behaviour in developing-country contexts. Survey data from 317 respondents were analysed using partial least squares structural equation modelling (PLS-SEM). Institutional trust and health literacy significantly reduced susceptibility, whereas social media dependence increased it; cultural influences had no significant direct effect. Susceptibility, in turn, substantially lowered positive health behaviour and mediated the effects of trust, literacy, and social media dependence, while community-based engagement did not significantly moderate this relationship. The study conceptualises susceptibility as a multidimensional higher-order construct, contributes quantitative evidence from an understudied context, and points policymakers towards trust-building, health-literacy, and preventive interventions.</w:t>
      </w:r>
    </w:p>
    <w:p w14:paraId="45B6BE4C" w14:textId="77777777" w:rsidR="00057245" w:rsidRDefault="00057245" w:rsidP="00A51969">
      <w:pPr>
        <w:spacing w:after="0" w:line="240" w:lineRule="auto"/>
        <w:jc w:val="both"/>
        <w:rPr>
          <w:rFonts w:ascii="Arial" w:hAnsi="Arial" w:cs="Arial"/>
          <w:sz w:val="20"/>
          <w:szCs w:val="20"/>
        </w:rPr>
      </w:pPr>
    </w:p>
    <w:p w14:paraId="36849815" w14:textId="50B187E2"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Sheearly Dicsa Arnelia, Sofiah Salim and Dedy Syamsuar. Driven by Data, Moved by Value: Understanding Consumer Responses to AI-Driven Advertising in E-Commerce</w:t>
      </w:r>
    </w:p>
    <w:p w14:paraId="17CB2CF9" w14:textId="0E8CACC4"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The rapid growth in the use of artificial intelligence (AI) in digital marketing is transforming how e-commerce interacts with consumers </w:t>
      </w:r>
      <w:proofErr w:type="gramStart"/>
      <w:r w:rsidR="00C072F1" w:rsidRPr="00C072F1">
        <w:rPr>
          <w:rFonts w:ascii="Arial" w:hAnsi="Arial" w:cs="Arial"/>
          <w:sz w:val="20"/>
          <w:szCs w:val="20"/>
        </w:rPr>
        <w:t>through the use of</w:t>
      </w:r>
      <w:proofErr w:type="gramEnd"/>
      <w:r w:rsidR="00C072F1" w:rsidRPr="00C072F1">
        <w:rPr>
          <w:rFonts w:ascii="Arial" w:hAnsi="Arial" w:cs="Arial"/>
          <w:sz w:val="20"/>
          <w:szCs w:val="20"/>
        </w:rPr>
        <w:t xml:space="preserve"> personalized content. Although it is generally accepted that personalization in advertising can increase response rates, the actual impact remains unknown. Therefore, this study examines the influence of advertising features including personalization, informativeness, and trustworthiness on purchase intention. A quantitative research approach was adopted by collecting data through online survey. The sample consisted of 140 participants with experience in social media and e-commerce. Partial Least Squares Structural Equation Modeling (PLS-SEM) techniques were used to analyze and verify the proposed research model. The results indicate that advertising value has a high, positive, and statistically significant influence on purchase intention. Of the three antecedents of trust, advertising value, and informativeness, only trust and advertising value were found to have a positive and statistically significant influence on advertising value. In today’s online environment, it can be concluded that personalization is an important feature, but not a significant one. On the other hand, the findings indicate that consumers are paying more attention to informativeness and trustworthiness in advertising. This study highlights the importance of placing trustworthy and informative content as the primary focus of AI-based advertising.</w:t>
      </w:r>
    </w:p>
    <w:p w14:paraId="7200E3DF" w14:textId="77777777" w:rsidR="00057245" w:rsidRDefault="00057245" w:rsidP="00A51969">
      <w:pPr>
        <w:spacing w:after="0" w:line="240" w:lineRule="auto"/>
        <w:jc w:val="both"/>
        <w:rPr>
          <w:rFonts w:ascii="Arial" w:hAnsi="Arial" w:cs="Arial"/>
          <w:sz w:val="20"/>
          <w:szCs w:val="20"/>
        </w:rPr>
      </w:pPr>
    </w:p>
    <w:p w14:paraId="6888FE5B" w14:textId="0EAF313F"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Gracia Martha Taslim, Agnes Isabel Leo, Kezia Karuna Haryanto, Teumsakdi Vassa Yulianta and Linda Kusumaning Wedari. Artificial Intelligence Adoption and ESG Controversies: Evidence from Southeast Asian Manufacturing Companies</w:t>
      </w:r>
    </w:p>
    <w:p w14:paraId="6A92E836" w14:textId="528206C8"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The research focuses on the impact of artificial intelligence on environmental, social, and governance (ESG) controversy for the manufacturing companies in Southeast Asia. A panel data sample of 309 observations for 64 companies from six Southeast Asian nations during the years 2020 to 2024 was used to measure the effect using a Random Effect model and System GMM robustness test. ESG controversies were measured using the Refinitiv ESG Controversy Score, where higher scores indicate fewer controversies. Artificial Intelligence adoption was measured using the keyword frequency analysis on the annual reports and sustainability reports of Southeast Asian manufacturing companies. The result consistently shows a significant positive association between high artificial intelligence adoption and higher ESG controversy scores, showing that higher artificial intelligence adoption leads to fewer ESG controversies for companies. The theories used for the hypothesis development include Stakeholder Theory, Information Processing Theory, and Contingency Theory. These theories align with the previous studies, which have proven that artificial intelligence helps increase company transparency, monitoring, and risk management.</w:t>
      </w:r>
    </w:p>
    <w:p w14:paraId="66A44392" w14:textId="77777777" w:rsidR="00057245" w:rsidRDefault="00057245" w:rsidP="00A51969">
      <w:pPr>
        <w:spacing w:after="0" w:line="240" w:lineRule="auto"/>
        <w:jc w:val="both"/>
        <w:rPr>
          <w:rFonts w:ascii="Arial" w:hAnsi="Arial" w:cs="Arial"/>
          <w:sz w:val="20"/>
          <w:szCs w:val="20"/>
        </w:rPr>
      </w:pPr>
    </w:p>
    <w:p w14:paraId="20E342D3" w14:textId="2732E5BD"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Agnesia Christiady, Laura Ashley, Pearly Calissa, Daniel Walalangi and Linda Wedari. AI-Enabled Digital Transformation for Sustainable Financial Performance: Evidence from Indonesia’s Energy and and Mining Sectors</w:t>
      </w:r>
    </w:p>
    <w:p w14:paraId="49875F02" w14:textId="14A12259"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This study examines the effect of artificial intelligence adoption on firm financial performance in Indonesia's energy and mining sectors. The analysis uses panel data of 419 firm-year observations from 90 listed companies during 2020 to 2024. AI adoption is measured through Python-based text analysis of annual reports, counting AI-related keyword frequencies. Financial performance is proxied by earnings per share (EPS), with debt-to-asset ratio, asset turnover, and firm size as control variables. A Random Effects Model is </w:t>
      </w:r>
      <w:r w:rsidR="00C072F1" w:rsidRPr="00C072F1">
        <w:rPr>
          <w:rFonts w:ascii="Arial" w:hAnsi="Arial" w:cs="Arial"/>
          <w:sz w:val="20"/>
          <w:szCs w:val="20"/>
        </w:rPr>
        <w:lastRenderedPageBreak/>
        <w:t>selected based on the Breusch-Pagan LM and Hausman tests. The results show that AI adoption has a marginally significant positive effect on financial performance (β = 0.009, p = 0.051), while control variables are statistically insignificant. The findings are consistent with the Resource-Based View, Dynamic Capabilities Theory, and the Technology Acceptance Model, which frame AI as a value-creating strategic capability. The study contributes to the emerging-market evidence base on AI and firm performance, particularly in capital-intensive sectors, and offers a replicable text-analysis approach to measuring AI adoption from disclosure data.</w:t>
      </w:r>
    </w:p>
    <w:p w14:paraId="7D3E5833" w14:textId="77777777" w:rsidR="00057245" w:rsidRDefault="00057245" w:rsidP="00A51969">
      <w:pPr>
        <w:spacing w:after="0" w:line="240" w:lineRule="auto"/>
        <w:jc w:val="both"/>
        <w:rPr>
          <w:rFonts w:ascii="Arial" w:hAnsi="Arial" w:cs="Arial"/>
          <w:sz w:val="20"/>
          <w:szCs w:val="20"/>
        </w:rPr>
      </w:pPr>
    </w:p>
    <w:p w14:paraId="6954BF11" w14:textId="46C135EB"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Michelle Senyadji, Aiko Sutanto, Athalia Nyanaviro, Aththar Purwasunu and Septi Wifasari. The Impact of Green Intelligence to ESG Scores in the ASEAN Banking Sector (2020-2024)</w:t>
      </w:r>
    </w:p>
    <w:p w14:paraId="7332EC3A" w14:textId="5807C8B2"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Artificial Intelligence (AI) is increasingly used in ESG reporting and decision-making, yet the role of AI-driven textual analysis in improving ESG performance remains underexplored. This study examines the effect of Green Intelligence on ESG performance in ASEAN banking firms during 2020–2024 and investigates the moderating role of financial stability measured by the Zmijewski Z-Score. Using panel data regression on 248 firm-year observations from the LSEG Refinitiv database, the results show that Green Intelligence positively and significantly influences ESG performance. The interaction between Green Intelligence and financial stability is also significant, indicating that firms with higher financial distress risk derive greater ESG benefits from Green Intelligence. Robustness tests confirm the positive relationship, with stronger effects among less profitable banks. These findings support Stake-holder Theory and the Resource-Based View (RBV), suggesting that Green Intelligence serves as a strategic capability that enhances ESG performance and competitive advantage.</w:t>
      </w:r>
    </w:p>
    <w:p w14:paraId="08C00E87" w14:textId="77777777" w:rsidR="00057245" w:rsidRDefault="00057245" w:rsidP="00A51969">
      <w:pPr>
        <w:spacing w:after="0" w:line="240" w:lineRule="auto"/>
        <w:jc w:val="both"/>
        <w:rPr>
          <w:rFonts w:ascii="Arial" w:hAnsi="Arial" w:cs="Arial"/>
          <w:sz w:val="20"/>
          <w:szCs w:val="20"/>
        </w:rPr>
      </w:pPr>
    </w:p>
    <w:p w14:paraId="039D7359" w14:textId="5BCAA8F1"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Marybelle Ho, Malika Simon, Aileen Wanahardja, Daniel Prakosa, Linda Wedari and Vu Binh. Digital Transformation and Carbon Emissions in Firm Value and Firm Performance on Energy and Utilities Sector in ASEAN</w:t>
      </w:r>
    </w:p>
    <w:p w14:paraId="4A5EBDA0" w14:textId="6F1D6EC0"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Digital transformation and carbon emissions have become increasingly important strategic and sustainability issues for firms operating in energy intensive industries. This study explores the impacts of digital transformation and car-bon emission on firm value and performance in the energy and utility sector of six ASEAN countries from 2020 to 2024. The final sample consists of 323 firm-year observations. Digital transformation is measured using text-based analysis of digital transformation-related keywords in annual reports, while carbon emissions are captured by carbon emission intensity. Firm value is proxied by price-to-book value, and firm performance is measured by return on equity. Panel data estimation is employed, with the fixed effects model used for firm value and the random effects model used for firm performance. The findings show that carbon emission intensity has a negative and significant effect on firm value, suggesting that investors may penalize firms with higher carbon emissions. Digital transformation, however, does not significantly affect firm value. In contrast, digital transformation has a negative effect on firm performance, while carbon emission intensity does not significantly influence firm performance. This study contributes to the literature by providing empirical evidence on the financial implications of digital transformation and carbon emissions in the ASEAN energy and utility sector. The findings offer practical implications for stakeholders in balancing digital investment, environmental responsibility, and financial outcomes.</w:t>
      </w:r>
    </w:p>
    <w:p w14:paraId="774C744D" w14:textId="77777777" w:rsidR="00057245" w:rsidRDefault="00057245" w:rsidP="00A51969">
      <w:pPr>
        <w:spacing w:after="0" w:line="240" w:lineRule="auto"/>
        <w:jc w:val="both"/>
        <w:rPr>
          <w:rFonts w:ascii="Arial" w:hAnsi="Arial" w:cs="Arial"/>
          <w:sz w:val="20"/>
          <w:szCs w:val="20"/>
        </w:rPr>
      </w:pPr>
    </w:p>
    <w:p w14:paraId="2F9D87FB" w14:textId="4AFA16E0"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Vallencia Angellyne, Linda Kusumaning Wedari, Aurelia Giustiani, Hillary Renata Mulyawan and Karla Lita. Drivers of ChatGPT Usage Intensity among Accounting Students in Indonesia Higher Education Institutions: The Moderating Effect of Academic Utilization</w:t>
      </w:r>
    </w:p>
    <w:p w14:paraId="49766E64" w14:textId="36B3D3FA"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This research explores the impact of Academic Perceived Value and Social Academic Influence on the ChatGPT Usage Intensity of accounting students in Indonesia, incorporating Academic Utilization of ChatGPT as a moderating factor. A quantitative methodology is applied, with data obtained via an online survey targeting students with ChatGPT usage experience for academic </w:t>
      </w:r>
      <w:proofErr w:type="gramStart"/>
      <w:r w:rsidR="00C072F1" w:rsidRPr="00C072F1">
        <w:rPr>
          <w:rFonts w:ascii="Arial" w:hAnsi="Arial" w:cs="Arial"/>
          <w:sz w:val="20"/>
          <w:szCs w:val="20"/>
        </w:rPr>
        <w:t>pur-poses</w:t>
      </w:r>
      <w:proofErr w:type="gramEnd"/>
      <w:r w:rsidR="00C072F1" w:rsidRPr="00C072F1">
        <w:rPr>
          <w:rFonts w:ascii="Arial" w:hAnsi="Arial" w:cs="Arial"/>
          <w:sz w:val="20"/>
          <w:szCs w:val="20"/>
        </w:rPr>
        <w:t>. Of the 477 submissions, 375 were suitable, and were analyzed using SmartPLS 4. Results show that both Academic Perceived Value and Social Academic Influence positively and significantly impact ChatGPT Usage Inten-sity, demonstrating that students are likely to use ChatGPT more if they think that it is academically helpful and if they are so influenced by the members of their academic environment. This study does not find support for the moderat-ing effect of Academic Utilization of ChatGPT. This researchs finds that stu-dents’ academic perceived value of ChatGPT and social academic environment influence the intensity of ChatGPT Usage, and that Academic Utilization of ChatGPT does not meaningfully enhance the relationships described in the study.</w:t>
      </w:r>
    </w:p>
    <w:p w14:paraId="3E3EFBE0" w14:textId="77777777" w:rsidR="00057245" w:rsidRDefault="00057245" w:rsidP="00A51969">
      <w:pPr>
        <w:spacing w:after="0" w:line="240" w:lineRule="auto"/>
        <w:jc w:val="both"/>
        <w:rPr>
          <w:rFonts w:ascii="Arial" w:hAnsi="Arial" w:cs="Arial"/>
          <w:sz w:val="20"/>
          <w:szCs w:val="20"/>
        </w:rPr>
      </w:pPr>
    </w:p>
    <w:p w14:paraId="5F75D3BC" w14:textId="4B16A183"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Dhiki Putra and Fransisca Rusgowanto. Artificial Intelligence and Accounting Students’ Creativity, Habit, and Critical Thinking in Using Accounting Software</w:t>
      </w:r>
    </w:p>
    <w:p w14:paraId="4648B23B" w14:textId="1359AD34"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Artificial intelligence has reshaped accounting education, yet little is known about how routine AI use affects the higher-order skills graduates need. Grounded in the Unified Theory of Acceptance and Use of Technology 2 (UTAUT2) and cognitive load theory, this study examines whether AI usage influences accounting students' creativi-ty, directly and indirectly through habit and critical thinking. Using a quantitative, cross-</w:t>
      </w:r>
      <w:r w:rsidR="00C072F1" w:rsidRPr="00C072F1">
        <w:rPr>
          <w:rFonts w:ascii="Arial" w:hAnsi="Arial" w:cs="Arial"/>
          <w:sz w:val="20"/>
          <w:szCs w:val="20"/>
        </w:rPr>
        <w:lastRenderedPageBreak/>
        <w:t>sectional design, data from 415 Indonesian university students experienced with AI-based accounting software were analyzed via partial least squares structural equa-tion modeling (PLS-SEM) with 5,000-resample bootstrapping. All seven hypotheses were supported. Habit was the dominant mechanism: AI usage strongly shaped habit-ual use (β = 0.515), the strongest predictor of creativity (β = 0.478), with an indirect effect (β = 0.246) nearly matching AI's direct effect (β = 0.256). Although AI influ-enced critical thinking (β = 0.405), the path from critical thinking to creativity was negligible (β = 0.090). The model explained 49.1% of the variance in creativity. In accounting's structured domain, behavioral pathways outperform cognitive ones, so educators should prioritize habitual AI use over verification-focused critical thinking.</w:t>
      </w:r>
    </w:p>
    <w:p w14:paraId="0367D837" w14:textId="77777777" w:rsidR="00057245" w:rsidRPr="0009073A" w:rsidRDefault="00057245" w:rsidP="00A51969">
      <w:pPr>
        <w:spacing w:after="0" w:line="240" w:lineRule="auto"/>
        <w:jc w:val="both"/>
        <w:rPr>
          <w:rFonts w:ascii="Arial" w:hAnsi="Arial" w:cs="Arial"/>
          <w:sz w:val="20"/>
          <w:szCs w:val="20"/>
          <w:lang w:val="en-US"/>
        </w:rPr>
      </w:pPr>
    </w:p>
    <w:p w14:paraId="6DEA6097" w14:textId="11519FB0"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lang w:val="sv-SE"/>
        </w:rPr>
        <w:t xml:space="preserve">Andre Wijaya Kusuma, Arnesia Mutiasari, Daniel Percival, Salvia Giovanni and Linda Kusumaning Wedari. </w:t>
      </w:r>
      <w:r w:rsidRPr="00C072F1">
        <w:rPr>
          <w:rFonts w:ascii="Arial" w:hAnsi="Arial" w:cs="Arial"/>
          <w:sz w:val="20"/>
          <w:szCs w:val="20"/>
        </w:rPr>
        <w:t>Integrating AI-Based Continuous Emission Monitoring Systems into Corporate Reporting and Carbon Tax Enforcement: A Comprehensive Review and Integrated Framework</w:t>
      </w:r>
    </w:p>
    <w:p w14:paraId="538874EB" w14:textId="7822C322"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Artificial Intelligence (AI) has emerged as a promising technology for enhancing Continuous Emission Monitoring Systems (CEMS) by enabling real-time processing and analysis of large-scale emissions data. However, existing research remains fragmented across environmental monitoring, artificial intelligence, sustainability reporting, and carbon tax enforcement, with limited attention to how information systems integrate these domains into a unified governance mechanism. This study examines 47 peer-reviewed articles to provide a comprehensive overview of how AI-driven information systems facilitate emissions monitoring and its downstream impact on corporate accountability. The analysis reveals a rapidly evolving yet disconnected body of research, leading to the development of an integrated AI-based CEMS framework. This framework conceptualizes how key decarbonization drivers stimulate AI-enabled emissions monitoring systems, which subsequently strengthen corporate reporting, carbon tax enforcement, and carbon accountability outcomes. By consolidating dispersed evidence into a coherent information systems and governance perspective, this study identifies future research directions and offers practical implications for policymakers, regulators, and corporations seeking to leverage technology-driven systems for strengthening carbon accountability, particularly in emerging economies.</w:t>
      </w:r>
    </w:p>
    <w:p w14:paraId="0D58157B" w14:textId="77777777" w:rsidR="00057245" w:rsidRDefault="00057245" w:rsidP="00A51969">
      <w:pPr>
        <w:spacing w:after="0" w:line="240" w:lineRule="auto"/>
        <w:jc w:val="both"/>
        <w:rPr>
          <w:rFonts w:ascii="Arial" w:hAnsi="Arial" w:cs="Arial"/>
          <w:sz w:val="20"/>
          <w:szCs w:val="20"/>
        </w:rPr>
      </w:pPr>
    </w:p>
    <w:p w14:paraId="34FA4326" w14:textId="41DE6F13"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Dedy Syamsuar, Daniel Kartawiguna and Darius Antoni. What Drives Students to Adopt Cloud Computing? Evidence from Higher Education</w:t>
      </w:r>
    </w:p>
    <w:p w14:paraId="7FEED23B" w14:textId="18A40210"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Cloud computing has become an important part of teaching and learning in higher education because it supports access to academic resources, collaboration, and task management. This study examines the factors that influence students’ intention to adopt cloud computing and its relationship with academic performance. Drawing on the Technology Acceptance Model, the study incorporates knowledge sharing, knowledge application, learnability, self-efficacy, perceived enjoyment, and social influence alongside perceived usefulness and perceived ease of use. Data were collected from 270 university students through an online survey and analyzed using Partial Least Squares Structural Equation Modeling (PLS-SEM). The findings show that knowledge application, knowledge sharing, and social influence significantly influence perceived usefulness, while self-efficacy and perceived enjoyment significantly influence perceived ease of use. Perceived usefulness, perceived ease of use, and social influence also significantly affect students’ intention to adopt cloud computing, which in turn has a strong positive effect on academic performance. Overall, the results highlight the importance of cognitive, social, and capability-related factors in explaining students’ cloud computing adoption intention in higher education.</w:t>
      </w:r>
    </w:p>
    <w:p w14:paraId="4692F0B3" w14:textId="77777777" w:rsidR="00923529" w:rsidRPr="0009073A" w:rsidRDefault="00923529" w:rsidP="00A51969">
      <w:pPr>
        <w:spacing w:after="0" w:line="240" w:lineRule="auto"/>
        <w:jc w:val="both"/>
        <w:rPr>
          <w:rFonts w:ascii="Arial" w:hAnsi="Arial" w:cs="Arial"/>
          <w:sz w:val="20"/>
          <w:szCs w:val="20"/>
          <w:lang w:val="en-US"/>
        </w:rPr>
      </w:pPr>
    </w:p>
    <w:p w14:paraId="080421F0" w14:textId="246B61C8"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lang w:val="sv-SE"/>
        </w:rPr>
        <w:t xml:space="preserve">Raina Aristadewi Satyaputri, Stefany Widjaja and Darusalam Darusalam. </w:t>
      </w:r>
      <w:r w:rsidRPr="00C072F1">
        <w:rPr>
          <w:rFonts w:ascii="Arial" w:hAnsi="Arial" w:cs="Arial"/>
          <w:sz w:val="20"/>
          <w:szCs w:val="20"/>
        </w:rPr>
        <w:t>The Influence of Financial Inclusion and Environmental Responsibility on Economic Sustainability: The Mediating Role of ICT Usage in Indonesia</w:t>
      </w:r>
    </w:p>
    <w:p w14:paraId="018982D0" w14:textId="1AC8A134"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Today, the growth of the digital economy, modern financial systems</w:t>
      </w:r>
      <w:r w:rsidR="00923529">
        <w:rPr>
          <w:rFonts w:ascii="Arial" w:hAnsi="Arial" w:cs="Arial"/>
          <w:sz w:val="20"/>
          <w:szCs w:val="20"/>
        </w:rPr>
        <w:t xml:space="preserve"> </w:t>
      </w:r>
      <w:r w:rsidR="00C072F1" w:rsidRPr="00C072F1">
        <w:rPr>
          <w:rFonts w:ascii="Arial" w:hAnsi="Arial" w:cs="Arial"/>
          <w:sz w:val="20"/>
          <w:szCs w:val="20"/>
        </w:rPr>
        <w:t>and green business practices shape how companies survive over the long term.</w:t>
      </w:r>
      <w:r w:rsidR="00923529">
        <w:rPr>
          <w:rFonts w:ascii="Arial" w:hAnsi="Arial" w:cs="Arial"/>
          <w:sz w:val="20"/>
          <w:szCs w:val="20"/>
        </w:rPr>
        <w:t xml:space="preserve"> </w:t>
      </w:r>
      <w:r w:rsidR="00C072F1" w:rsidRPr="00C072F1">
        <w:rPr>
          <w:rFonts w:ascii="Arial" w:hAnsi="Arial" w:cs="Arial"/>
          <w:sz w:val="20"/>
          <w:szCs w:val="20"/>
        </w:rPr>
        <w:t>This study evaluates the dual-stage structural framework of macro-financial</w:t>
      </w:r>
      <w:r w:rsidR="00923529">
        <w:rPr>
          <w:rFonts w:ascii="Arial" w:hAnsi="Arial" w:cs="Arial"/>
          <w:sz w:val="20"/>
          <w:szCs w:val="20"/>
        </w:rPr>
        <w:t xml:space="preserve"> </w:t>
      </w:r>
      <w:r w:rsidR="00C072F1" w:rsidRPr="00C072F1">
        <w:rPr>
          <w:rFonts w:ascii="Arial" w:hAnsi="Arial" w:cs="Arial"/>
          <w:sz w:val="20"/>
          <w:szCs w:val="20"/>
        </w:rPr>
        <w:t>frameworks and micro-corporate ecological governance in an emerging market</w:t>
      </w:r>
      <w:r w:rsidR="00923529">
        <w:rPr>
          <w:rFonts w:ascii="Arial" w:hAnsi="Arial" w:cs="Arial"/>
          <w:sz w:val="20"/>
          <w:szCs w:val="20"/>
        </w:rPr>
        <w:t xml:space="preserve"> </w:t>
      </w:r>
      <w:r w:rsidR="00C072F1" w:rsidRPr="00C072F1">
        <w:rPr>
          <w:rFonts w:ascii="Arial" w:hAnsi="Arial" w:cs="Arial"/>
          <w:sz w:val="20"/>
          <w:szCs w:val="20"/>
        </w:rPr>
        <w:t>context. Utilizing a balanced panel dataset of 25 corporate-year observations</w:t>
      </w:r>
      <w:r w:rsidR="00923529">
        <w:rPr>
          <w:rFonts w:ascii="Arial" w:hAnsi="Arial" w:cs="Arial"/>
          <w:sz w:val="20"/>
          <w:szCs w:val="20"/>
        </w:rPr>
        <w:t xml:space="preserve"> </w:t>
      </w:r>
      <w:r w:rsidR="00C072F1" w:rsidRPr="00C072F1">
        <w:rPr>
          <w:rFonts w:ascii="Arial" w:hAnsi="Arial" w:cs="Arial"/>
          <w:sz w:val="20"/>
          <w:szCs w:val="20"/>
        </w:rPr>
        <w:t>from strategic sectors listed on the Indonesia Stock Exchange (IDX) from 2020</w:t>
      </w:r>
      <w:r w:rsidR="00923529">
        <w:rPr>
          <w:rFonts w:ascii="Arial" w:hAnsi="Arial" w:cs="Arial"/>
          <w:sz w:val="20"/>
          <w:szCs w:val="20"/>
        </w:rPr>
        <w:t xml:space="preserve"> </w:t>
      </w:r>
      <w:r w:rsidR="00C072F1" w:rsidRPr="00C072F1">
        <w:rPr>
          <w:rFonts w:ascii="Arial" w:hAnsi="Arial" w:cs="Arial"/>
          <w:sz w:val="20"/>
          <w:szCs w:val="20"/>
        </w:rPr>
        <w:t>to 2024, the model is tested via a two-stage Ordinary Least Squares (OLS) path</w:t>
      </w:r>
      <w:r w:rsidR="00923529">
        <w:rPr>
          <w:rFonts w:ascii="Arial" w:hAnsi="Arial" w:cs="Arial"/>
          <w:sz w:val="20"/>
          <w:szCs w:val="20"/>
        </w:rPr>
        <w:t xml:space="preserve"> </w:t>
      </w:r>
      <w:r w:rsidR="00C072F1" w:rsidRPr="00C072F1">
        <w:rPr>
          <w:rFonts w:ascii="Arial" w:hAnsi="Arial" w:cs="Arial"/>
          <w:sz w:val="20"/>
          <w:szCs w:val="20"/>
        </w:rPr>
        <w:t>estimation. The empirical results reveal that macro-financial inclusion serves as</w:t>
      </w:r>
      <w:r w:rsidR="00923529">
        <w:rPr>
          <w:rFonts w:ascii="Arial" w:hAnsi="Arial" w:cs="Arial"/>
          <w:sz w:val="20"/>
          <w:szCs w:val="20"/>
        </w:rPr>
        <w:t xml:space="preserve"> </w:t>
      </w:r>
      <w:r w:rsidR="00C072F1" w:rsidRPr="00C072F1">
        <w:rPr>
          <w:rFonts w:ascii="Arial" w:hAnsi="Arial" w:cs="Arial"/>
          <w:sz w:val="20"/>
          <w:szCs w:val="20"/>
        </w:rPr>
        <w:t>a powerful and highly significant driver for expanding national ICT usage (p &lt;</w:t>
      </w:r>
      <w:r w:rsidR="00923529">
        <w:rPr>
          <w:rFonts w:ascii="Arial" w:hAnsi="Arial" w:cs="Arial"/>
          <w:sz w:val="20"/>
          <w:szCs w:val="20"/>
        </w:rPr>
        <w:t xml:space="preserve"> </w:t>
      </w:r>
      <w:r w:rsidR="00C072F1" w:rsidRPr="00C072F1">
        <w:rPr>
          <w:rFonts w:ascii="Arial" w:hAnsi="Arial" w:cs="Arial"/>
          <w:sz w:val="20"/>
          <w:szCs w:val="20"/>
        </w:rPr>
        <w:t>0.001). Conversely, at the terminal microeconomic phase, corporate environmental responsibility exerts a negative and highly significant direct impact on corporate Economic Sustainability (p &lt; 0.001). This critical finding strongly supports</w:t>
      </w:r>
      <w:r w:rsidR="00923529">
        <w:rPr>
          <w:rFonts w:ascii="Arial" w:hAnsi="Arial" w:cs="Arial"/>
          <w:sz w:val="20"/>
          <w:szCs w:val="20"/>
        </w:rPr>
        <w:t xml:space="preserve"> </w:t>
      </w:r>
      <w:r w:rsidR="00C072F1" w:rsidRPr="00C072F1">
        <w:rPr>
          <w:rFonts w:ascii="Arial" w:hAnsi="Arial" w:cs="Arial"/>
          <w:sz w:val="20"/>
          <w:szCs w:val="20"/>
        </w:rPr>
        <w:t>the Trade-off Theory, proving that rigorous compliance with international green</w:t>
      </w:r>
      <w:r w:rsidR="00923529">
        <w:rPr>
          <w:rFonts w:ascii="Arial" w:hAnsi="Arial" w:cs="Arial"/>
          <w:sz w:val="20"/>
          <w:szCs w:val="20"/>
        </w:rPr>
        <w:t xml:space="preserve"> </w:t>
      </w:r>
      <w:r w:rsidR="00C072F1" w:rsidRPr="00C072F1">
        <w:rPr>
          <w:rFonts w:ascii="Arial" w:hAnsi="Arial" w:cs="Arial"/>
          <w:sz w:val="20"/>
          <w:szCs w:val="20"/>
        </w:rPr>
        <w:t>metrics imposes heavy immediate operational costs that temporarily suppress</w:t>
      </w:r>
      <w:r w:rsidR="00923529">
        <w:rPr>
          <w:rFonts w:ascii="Arial" w:hAnsi="Arial" w:cs="Arial"/>
          <w:sz w:val="20"/>
          <w:szCs w:val="20"/>
        </w:rPr>
        <w:t xml:space="preserve"> </w:t>
      </w:r>
      <w:r w:rsidR="00C072F1" w:rsidRPr="00C072F1">
        <w:rPr>
          <w:rFonts w:ascii="Arial" w:hAnsi="Arial" w:cs="Arial"/>
          <w:sz w:val="20"/>
          <w:szCs w:val="20"/>
        </w:rPr>
        <w:t>corporate asset profitability (ROA). Furthermore, macro-digital adoption fails to</w:t>
      </w:r>
      <w:r w:rsidR="00923529">
        <w:rPr>
          <w:rFonts w:ascii="Arial" w:hAnsi="Arial" w:cs="Arial"/>
          <w:sz w:val="20"/>
          <w:szCs w:val="20"/>
        </w:rPr>
        <w:t xml:space="preserve"> </w:t>
      </w:r>
      <w:r w:rsidR="00C072F1" w:rsidRPr="00C072F1">
        <w:rPr>
          <w:rFonts w:ascii="Arial" w:hAnsi="Arial" w:cs="Arial"/>
          <w:sz w:val="20"/>
          <w:szCs w:val="20"/>
        </w:rPr>
        <w:t>influence firm-level performance directly, thereby formally rejecting the structural mediation hypothesis.</w:t>
      </w:r>
    </w:p>
    <w:p w14:paraId="51717986" w14:textId="77777777" w:rsidR="00923529" w:rsidRDefault="00923529" w:rsidP="00A51969">
      <w:pPr>
        <w:spacing w:after="0" w:line="240" w:lineRule="auto"/>
        <w:jc w:val="both"/>
        <w:rPr>
          <w:rFonts w:ascii="Arial" w:hAnsi="Arial" w:cs="Arial"/>
          <w:sz w:val="20"/>
          <w:szCs w:val="20"/>
        </w:rPr>
      </w:pPr>
    </w:p>
    <w:p w14:paraId="136C12E6" w14:textId="0E28E1F7"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lastRenderedPageBreak/>
        <w:t>Caroline Natasya Fetterly, Marcellino Thio Frando, Ajeng Leadiani Anes and Lindrianasari Lindrianasari. AI-Based News Sentiment and Stock Market Returns in the Context of Institutional Uncertainty: Evidence from Indonesia 2023-2025</w:t>
      </w:r>
    </w:p>
    <w:p w14:paraId="341DB0E9" w14:textId="4202F28D"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Stock market volatility in Indonesia is often influenced by institutional uncertainty, particularly during periods of policy transition, political dynamics, and macroeconomic conditions that significantly impact stock market volatility. In such situations, all forms of news disseminated in the media play a crucial role in shaping various investor expectations and reactions, while simultaneously influencing the direction of financial market movements. Advances in artificial intelligence (AI) technology enable systematic and large-scale news sentiment analysis, thereby opening new opportunities to understand how information flows impact stock market fluctuations. This study aims to provide empirical evidence of the influence of market sentiment through AI-based news processing on stock returns in Indonesia as represented by the weekly return of the JCI. The research method employed is quantitative, involving the collection and processing of data comprising 938 news articles related to economic, political, and institutional issues occurring in Indonesia during the 2023–2025 period. The results of the study indicate that the AI-based news sentiment index has a significant impact on the IHSG return, with a negative relationship between news sentiment in the previous period and the IHSG return in the subsequent period, suggesting that an increase in positive sentiment tends to be followed by lower returns in the following week.</w:t>
      </w:r>
    </w:p>
    <w:p w14:paraId="4039F5E5" w14:textId="77777777" w:rsidR="008A2BE4" w:rsidRDefault="008A2BE4" w:rsidP="00A51969">
      <w:pPr>
        <w:spacing w:after="0" w:line="240" w:lineRule="auto"/>
        <w:jc w:val="both"/>
        <w:rPr>
          <w:rFonts w:ascii="Arial" w:hAnsi="Arial" w:cs="Arial"/>
          <w:sz w:val="20"/>
          <w:szCs w:val="20"/>
        </w:rPr>
      </w:pPr>
    </w:p>
    <w:p w14:paraId="7218B831" w14:textId="7AF265D7"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Sherlyne Gilda Pheson, Maria Nathania Sukacita Dirga Purwantoro Putri, Aurelia Nadya Halim, Crystal Adelia Purwadi and Darusalam Darusalam. The Effect of Digital Transformation on the Financial Performance of Banks in Southeast Asia Emerging Market Countries</w:t>
      </w:r>
    </w:p>
    <w:p w14:paraId="362233A5" w14:textId="132FEB21"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This research looks at how banks in developing Southeast Asian</w:t>
      </w:r>
      <w:r w:rsidR="008A2BE4">
        <w:rPr>
          <w:rFonts w:ascii="Arial" w:hAnsi="Arial" w:cs="Arial"/>
          <w:sz w:val="20"/>
          <w:szCs w:val="20"/>
        </w:rPr>
        <w:t xml:space="preserve"> </w:t>
      </w:r>
      <w:r w:rsidR="00C072F1" w:rsidRPr="00C072F1">
        <w:rPr>
          <w:rFonts w:ascii="Arial" w:hAnsi="Arial" w:cs="Arial"/>
          <w:sz w:val="20"/>
          <w:szCs w:val="20"/>
        </w:rPr>
        <w:t>economies have fared financially after embracing digital transformation.</w:t>
      </w:r>
      <w:r w:rsidR="008A2BE4">
        <w:rPr>
          <w:rFonts w:ascii="Arial" w:hAnsi="Arial" w:cs="Arial"/>
          <w:sz w:val="20"/>
          <w:szCs w:val="20"/>
        </w:rPr>
        <w:t xml:space="preserve"> </w:t>
      </w:r>
      <w:r w:rsidR="00C072F1" w:rsidRPr="00C072F1">
        <w:rPr>
          <w:rFonts w:ascii="Arial" w:hAnsi="Arial" w:cs="Arial"/>
          <w:sz w:val="20"/>
          <w:szCs w:val="20"/>
        </w:rPr>
        <w:t>Throughout the years 2020-2024, 25 different banks were selected from the</w:t>
      </w:r>
      <w:r w:rsidR="008A2BE4">
        <w:rPr>
          <w:rFonts w:ascii="Arial" w:hAnsi="Arial" w:cs="Arial"/>
          <w:sz w:val="20"/>
          <w:szCs w:val="20"/>
        </w:rPr>
        <w:t xml:space="preserve"> </w:t>
      </w:r>
      <w:r w:rsidR="00C072F1" w:rsidRPr="00C072F1">
        <w:rPr>
          <w:rFonts w:ascii="Arial" w:hAnsi="Arial" w:cs="Arial"/>
          <w:sz w:val="20"/>
          <w:szCs w:val="20"/>
        </w:rPr>
        <w:t>following countries: Indonesia, Malaysia, Thailand, Vietnam, and the</w:t>
      </w:r>
      <w:r w:rsidR="008A2BE4">
        <w:rPr>
          <w:rFonts w:ascii="Arial" w:hAnsi="Arial" w:cs="Arial"/>
          <w:sz w:val="20"/>
          <w:szCs w:val="20"/>
        </w:rPr>
        <w:t xml:space="preserve"> </w:t>
      </w:r>
      <w:r w:rsidR="00C072F1" w:rsidRPr="00C072F1">
        <w:rPr>
          <w:rFonts w:ascii="Arial" w:hAnsi="Arial" w:cs="Arial"/>
          <w:sz w:val="20"/>
          <w:szCs w:val="20"/>
        </w:rPr>
        <w:t>Philippines. The Refinitiv database, annual reports, and sustainability reports</w:t>
      </w:r>
      <w:r w:rsidR="008A2BE4">
        <w:rPr>
          <w:rFonts w:ascii="Arial" w:hAnsi="Arial" w:cs="Arial"/>
          <w:sz w:val="20"/>
          <w:szCs w:val="20"/>
        </w:rPr>
        <w:t xml:space="preserve"> </w:t>
      </w:r>
      <w:r w:rsidR="00C072F1" w:rsidRPr="00C072F1">
        <w:rPr>
          <w:rFonts w:ascii="Arial" w:hAnsi="Arial" w:cs="Arial"/>
          <w:sz w:val="20"/>
          <w:szCs w:val="20"/>
        </w:rPr>
        <w:t>were used to gather secondary data. We used Return on Assets (ROA) as a</w:t>
      </w:r>
      <w:r w:rsidR="008A2BE4">
        <w:rPr>
          <w:rFonts w:ascii="Arial" w:hAnsi="Arial" w:cs="Arial"/>
          <w:sz w:val="20"/>
          <w:szCs w:val="20"/>
        </w:rPr>
        <w:t xml:space="preserve"> </w:t>
      </w:r>
      <w:r w:rsidR="00C072F1" w:rsidRPr="00C072F1">
        <w:rPr>
          <w:rFonts w:ascii="Arial" w:hAnsi="Arial" w:cs="Arial"/>
          <w:sz w:val="20"/>
          <w:szCs w:val="20"/>
        </w:rPr>
        <w:t>financial performance metric and digital transformation as a metric for digital</w:t>
      </w:r>
      <w:r w:rsidR="008A2BE4">
        <w:rPr>
          <w:rFonts w:ascii="Arial" w:hAnsi="Arial" w:cs="Arial"/>
          <w:sz w:val="20"/>
          <w:szCs w:val="20"/>
        </w:rPr>
        <w:t xml:space="preserve"> </w:t>
      </w:r>
      <w:r w:rsidR="00C072F1" w:rsidRPr="00C072F1">
        <w:rPr>
          <w:rFonts w:ascii="Arial" w:hAnsi="Arial" w:cs="Arial"/>
          <w:sz w:val="20"/>
          <w:szCs w:val="20"/>
        </w:rPr>
        <w:t>transformation-related keywords disclosed in annual sustainability reports for</w:t>
      </w:r>
      <w:r w:rsidR="008A2BE4">
        <w:rPr>
          <w:rFonts w:ascii="Arial" w:hAnsi="Arial" w:cs="Arial"/>
          <w:sz w:val="20"/>
          <w:szCs w:val="20"/>
        </w:rPr>
        <w:t xml:space="preserve"> </w:t>
      </w:r>
      <w:r w:rsidR="00C072F1" w:rsidRPr="00C072F1">
        <w:rPr>
          <w:rFonts w:ascii="Arial" w:hAnsi="Arial" w:cs="Arial"/>
          <w:sz w:val="20"/>
          <w:szCs w:val="20"/>
        </w:rPr>
        <w:t>Python-based text analysis. A statistical analysis was</w:t>
      </w:r>
      <w:r w:rsidR="008A2BE4">
        <w:rPr>
          <w:rFonts w:ascii="Arial" w:hAnsi="Arial" w:cs="Arial"/>
          <w:sz w:val="20"/>
          <w:szCs w:val="20"/>
        </w:rPr>
        <w:t xml:space="preserve"> </w:t>
      </w:r>
      <w:r w:rsidR="00C072F1" w:rsidRPr="00C072F1">
        <w:rPr>
          <w:rFonts w:ascii="Arial" w:hAnsi="Arial" w:cs="Arial"/>
          <w:sz w:val="20"/>
          <w:szCs w:val="20"/>
        </w:rPr>
        <w:t>performed using Stata for</w:t>
      </w:r>
      <w:r w:rsidR="008A2BE4">
        <w:rPr>
          <w:rFonts w:ascii="Arial" w:hAnsi="Arial" w:cs="Arial"/>
          <w:sz w:val="20"/>
          <w:szCs w:val="20"/>
        </w:rPr>
        <w:t xml:space="preserve"> </w:t>
      </w:r>
      <w:r w:rsidR="00C072F1" w:rsidRPr="00C072F1">
        <w:rPr>
          <w:rFonts w:ascii="Arial" w:hAnsi="Arial" w:cs="Arial"/>
          <w:sz w:val="20"/>
          <w:szCs w:val="20"/>
        </w:rPr>
        <w:t>the panel data regression. Higher degrees of digital transformation are</w:t>
      </w:r>
      <w:r w:rsidR="008A2BE4">
        <w:rPr>
          <w:rFonts w:ascii="Arial" w:hAnsi="Arial" w:cs="Arial"/>
          <w:sz w:val="20"/>
          <w:szCs w:val="20"/>
        </w:rPr>
        <w:t xml:space="preserve"> </w:t>
      </w:r>
      <w:r w:rsidR="00C072F1" w:rsidRPr="00C072F1">
        <w:rPr>
          <w:rFonts w:ascii="Arial" w:hAnsi="Arial" w:cs="Arial"/>
          <w:sz w:val="20"/>
          <w:szCs w:val="20"/>
        </w:rPr>
        <w:t>associated with greater financial performance for banks, according to the data,</w:t>
      </w:r>
      <w:r w:rsidR="008A2BE4">
        <w:rPr>
          <w:rFonts w:ascii="Arial" w:hAnsi="Arial" w:cs="Arial"/>
          <w:sz w:val="20"/>
          <w:szCs w:val="20"/>
        </w:rPr>
        <w:t xml:space="preserve"> </w:t>
      </w:r>
      <w:r w:rsidR="00C072F1" w:rsidRPr="00C072F1">
        <w:rPr>
          <w:rFonts w:ascii="Arial" w:hAnsi="Arial" w:cs="Arial"/>
          <w:sz w:val="20"/>
          <w:szCs w:val="20"/>
        </w:rPr>
        <w:t>which show that digital transformation has a positive and substantial impact on</w:t>
      </w:r>
      <w:r w:rsidR="008A2BE4">
        <w:rPr>
          <w:rFonts w:ascii="Arial" w:hAnsi="Arial" w:cs="Arial"/>
          <w:sz w:val="20"/>
          <w:szCs w:val="20"/>
        </w:rPr>
        <w:t xml:space="preserve"> </w:t>
      </w:r>
      <w:r w:rsidR="00C072F1" w:rsidRPr="00C072F1">
        <w:rPr>
          <w:rFonts w:ascii="Arial" w:hAnsi="Arial" w:cs="Arial"/>
          <w:sz w:val="20"/>
          <w:szCs w:val="20"/>
        </w:rPr>
        <w:t>longevity. The results suggest that digital technologies have the potential to</w:t>
      </w:r>
      <w:r w:rsidR="008A2BE4">
        <w:rPr>
          <w:rFonts w:ascii="Arial" w:hAnsi="Arial" w:cs="Arial"/>
          <w:sz w:val="20"/>
          <w:szCs w:val="20"/>
        </w:rPr>
        <w:t xml:space="preserve"> </w:t>
      </w:r>
      <w:r w:rsidR="00C072F1" w:rsidRPr="00C072F1">
        <w:rPr>
          <w:rFonts w:ascii="Arial" w:hAnsi="Arial" w:cs="Arial"/>
          <w:sz w:val="20"/>
          <w:szCs w:val="20"/>
        </w:rPr>
        <w:t>boost operational efficiency, service quality, and competitiveness for banks.</w:t>
      </w:r>
      <w:r w:rsidR="008A2BE4">
        <w:rPr>
          <w:rFonts w:ascii="Arial" w:hAnsi="Arial" w:cs="Arial"/>
          <w:sz w:val="20"/>
          <w:szCs w:val="20"/>
        </w:rPr>
        <w:t xml:space="preserve"> </w:t>
      </w:r>
      <w:r w:rsidR="00C072F1" w:rsidRPr="00C072F1">
        <w:rPr>
          <w:rFonts w:ascii="Arial" w:hAnsi="Arial" w:cs="Arial"/>
          <w:sz w:val="20"/>
          <w:szCs w:val="20"/>
        </w:rPr>
        <w:t>While company size does not have a statistically significant impact on financial</w:t>
      </w:r>
      <w:r w:rsidR="008A2BE4">
        <w:rPr>
          <w:rFonts w:ascii="Arial" w:hAnsi="Arial" w:cs="Arial"/>
          <w:sz w:val="20"/>
          <w:szCs w:val="20"/>
        </w:rPr>
        <w:t xml:space="preserve"> </w:t>
      </w:r>
      <w:r w:rsidR="00C072F1" w:rsidRPr="00C072F1">
        <w:rPr>
          <w:rFonts w:ascii="Arial" w:hAnsi="Arial" w:cs="Arial"/>
          <w:sz w:val="20"/>
          <w:szCs w:val="20"/>
        </w:rPr>
        <w:t>success, The Capital Adequacy Ratio and Debt to Asset Ratio do. The setting of</w:t>
      </w:r>
      <w:r w:rsidR="008A2BE4">
        <w:rPr>
          <w:rFonts w:ascii="Arial" w:hAnsi="Arial" w:cs="Arial"/>
          <w:sz w:val="20"/>
          <w:szCs w:val="20"/>
        </w:rPr>
        <w:t xml:space="preserve"> </w:t>
      </w:r>
      <w:r w:rsidR="00C072F1" w:rsidRPr="00C072F1">
        <w:rPr>
          <w:rFonts w:ascii="Arial" w:hAnsi="Arial" w:cs="Arial"/>
          <w:sz w:val="20"/>
          <w:szCs w:val="20"/>
        </w:rPr>
        <w:t>ASEAN developing countries has been largely ignored in prior research; this</w:t>
      </w:r>
      <w:r w:rsidR="008A2BE4">
        <w:rPr>
          <w:rFonts w:ascii="Arial" w:hAnsi="Arial" w:cs="Arial"/>
          <w:sz w:val="20"/>
          <w:szCs w:val="20"/>
        </w:rPr>
        <w:t xml:space="preserve"> </w:t>
      </w:r>
      <w:r w:rsidR="00C072F1" w:rsidRPr="00C072F1">
        <w:rPr>
          <w:rFonts w:ascii="Arial" w:hAnsi="Arial" w:cs="Arial"/>
          <w:sz w:val="20"/>
          <w:szCs w:val="20"/>
        </w:rPr>
        <w:t>study fills that gap by offering empirical information on the relationship</w:t>
      </w:r>
      <w:r w:rsidR="008A2BE4">
        <w:rPr>
          <w:rFonts w:ascii="Arial" w:hAnsi="Arial" w:cs="Arial"/>
          <w:sz w:val="20"/>
          <w:szCs w:val="20"/>
        </w:rPr>
        <w:t xml:space="preserve"> </w:t>
      </w:r>
      <w:r w:rsidR="00C072F1" w:rsidRPr="00C072F1">
        <w:rPr>
          <w:rFonts w:ascii="Arial" w:hAnsi="Arial" w:cs="Arial"/>
          <w:sz w:val="20"/>
          <w:szCs w:val="20"/>
        </w:rPr>
        <w:t>between digital transformation and the financial performance of banks</w:t>
      </w:r>
      <w:r w:rsidR="008A2BE4">
        <w:rPr>
          <w:rFonts w:ascii="Arial" w:hAnsi="Arial" w:cs="Arial"/>
          <w:sz w:val="20"/>
          <w:szCs w:val="20"/>
        </w:rPr>
        <w:t xml:space="preserve"> </w:t>
      </w:r>
      <w:r w:rsidR="00C072F1" w:rsidRPr="00C072F1">
        <w:rPr>
          <w:rFonts w:ascii="Arial" w:hAnsi="Arial" w:cs="Arial"/>
          <w:sz w:val="20"/>
          <w:szCs w:val="20"/>
        </w:rPr>
        <w:t>operating in these regions.</w:t>
      </w:r>
    </w:p>
    <w:p w14:paraId="5CCE8C8A" w14:textId="77777777" w:rsidR="008A2BE4" w:rsidRDefault="008A2BE4" w:rsidP="00A51969">
      <w:pPr>
        <w:spacing w:after="0" w:line="240" w:lineRule="auto"/>
        <w:jc w:val="both"/>
        <w:rPr>
          <w:rFonts w:ascii="Arial" w:hAnsi="Arial" w:cs="Arial"/>
          <w:sz w:val="20"/>
          <w:szCs w:val="20"/>
        </w:rPr>
      </w:pPr>
    </w:p>
    <w:p w14:paraId="59241B3B" w14:textId="25EBA967"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Louis Fernando Hermawan, Ervina Aprillia Hosan, Keren Hana Syalomitha Sumajow, Stefhanus Imanuel Efendi and Linda Kusumaning Wedari. Generative AI Use, AI Competency, and Learning Outcomes among Accounting Students: Evidence from Indonesian Higher Education</w:t>
      </w:r>
    </w:p>
    <w:p w14:paraId="59357B8D" w14:textId="589C52F0"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The integration of Generative AI into higher education has reshaped how accounting stu-dents access information, process complex concepts, and complete academic tasks. Whether this integration improves or undermines learning outcomes remains contested, particularly in emerging-market settings where AI literacy programs are still developing. This study examines how Generative AI use and Generative AI competency shape accounting student learning in Indonesian higher education, drawing on Cognitive Load Theory and AI Com-petency framework. Survey data from 401 undergraduate accounting students across Indo-nesia were analyzed using Partial Least Squares Structural Equation Modeling. The results show that both Generative AI use and Generative AI competency have positive and statisti-cally significant effects on accounting student learning, jointly explaining 66.2 percent of the variance. The study contributes empirical evidence on AI-supported learning in an un-derexamined emerging-market accounting education setting, refines Cognitive Load Theory by introducing competency as a conditional mechanism, and informs accounting education policy makers including the Indonesian Institute of Accountants (IAI), accreditation bodies, and Big Four employers on the design of AI literacy frameworks aligned with International Education Standards.</w:t>
      </w:r>
    </w:p>
    <w:p w14:paraId="071E067D" w14:textId="77777777" w:rsidR="008A2BE4" w:rsidRPr="0009073A" w:rsidRDefault="008A2BE4" w:rsidP="00A51969">
      <w:pPr>
        <w:spacing w:after="0" w:line="240" w:lineRule="auto"/>
        <w:jc w:val="both"/>
        <w:rPr>
          <w:rFonts w:ascii="Arial" w:hAnsi="Arial" w:cs="Arial"/>
          <w:sz w:val="20"/>
          <w:szCs w:val="20"/>
          <w:lang w:val="en-US"/>
        </w:rPr>
      </w:pPr>
    </w:p>
    <w:p w14:paraId="73D1B73F" w14:textId="6536EC8F"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lang w:val="sv-SE"/>
        </w:rPr>
        <w:t xml:space="preserve">Ardelia Puspita, Kezia Louisa, Nayyara Refandi, Nabila Agustin and Linda Wedari. </w:t>
      </w:r>
      <w:r w:rsidRPr="00C072F1">
        <w:rPr>
          <w:rFonts w:ascii="Arial" w:hAnsi="Arial" w:cs="Arial"/>
          <w:sz w:val="20"/>
          <w:szCs w:val="20"/>
        </w:rPr>
        <w:t>AI-Driven Personalization and Consumer Financial Behavior: Evidence from Generation Z in Indonesia’s E-Commerce Ecosystem</w:t>
      </w:r>
    </w:p>
    <w:p w14:paraId="4F6FE2B9" w14:textId="68A81894"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This study examines how AI-driven personalization influences purchase decisions and consumer budgeting behavior among Generation Z consumers in Indonesia's e-commerce environment. Drawing on survey data from 294 Generation Z respondents and analyzed using Partial Least Squares Structural Equation Modeling, the study tests four hypotheses on the direct, joint, and mediating relationships between AI-driven personalization, purchase decisions, and budgeting behavior. The results show that AI-driven personalization </w:t>
      </w:r>
      <w:r w:rsidR="00C072F1" w:rsidRPr="00C072F1">
        <w:rPr>
          <w:rFonts w:ascii="Arial" w:hAnsi="Arial" w:cs="Arial"/>
          <w:sz w:val="20"/>
          <w:szCs w:val="20"/>
        </w:rPr>
        <w:lastRenderedPageBreak/>
        <w:t>significantly affects both purchase decisions (β = 0.855, p &lt; 0.001) and consumer budgeting behavior (β = 0.942, p &lt; 0.001). However, purchase decisions do not significantly affect budgeting behavior (β = -0.143, p = 0.101), and the mediating role of purchase decisions is not supported (β = -0.122, p = 0.100). These findings indicate that AI-driven personalization shapes budgeting behavior directly rather than through purchase activities, consistent with Mental Accounting Theory's argument that consumers maintain separate mental accounts for transaction-level and budgeting level decisions. The study contributes to behavioral accounting research by clarifying the direct psychological influence of AI technologies on Generation Z's financial behavior and offers practical guidance for e-commerce platforms and policymakers on designing responsible AI personalization frameworks.</w:t>
      </w:r>
    </w:p>
    <w:p w14:paraId="52E63974" w14:textId="77777777" w:rsidR="008A2BE4" w:rsidRPr="0009073A" w:rsidRDefault="008A2BE4" w:rsidP="00A51969">
      <w:pPr>
        <w:spacing w:after="0" w:line="240" w:lineRule="auto"/>
        <w:jc w:val="both"/>
        <w:rPr>
          <w:rFonts w:ascii="Arial" w:hAnsi="Arial" w:cs="Arial"/>
          <w:sz w:val="20"/>
          <w:szCs w:val="20"/>
          <w:lang w:val="en-US"/>
        </w:rPr>
      </w:pPr>
    </w:p>
    <w:p w14:paraId="1259B032" w14:textId="68C118ED"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lang w:val="sv-SE"/>
        </w:rPr>
        <w:t xml:space="preserve">Carissa Natania Handaja, Naisya Devani Aprilia, Marchella Kosasih, Gladys Nur Annisa Hutagalung and Fransisca Hanita Rusgowanto. </w:t>
      </w:r>
      <w:r w:rsidRPr="00C072F1">
        <w:rPr>
          <w:rFonts w:ascii="Arial" w:hAnsi="Arial" w:cs="Arial"/>
          <w:sz w:val="20"/>
          <w:szCs w:val="20"/>
        </w:rPr>
        <w:t>The Role of Trust in Robo-Advisor Systems and Per-ceived Usefulness in Shaping Retail Investors’ Behavioral Intention to Use Robo-Advisors</w:t>
      </w:r>
    </w:p>
    <w:p w14:paraId="15C9319A" w14:textId="59244BA6"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This research studies the influencing factors of robo-advisor’s adoption among Indonesian retail investor using the roles of Trust in Robo-Advisor System and Perceived Usefulness as key determinants. Quantitative research through online questionnaire is done by collecting data from 450 retail investors in In-donesia as respondents. Collected data was analyzes using PLS-SEM using SmartPLS 4. Findings suggest that trust and perceived usefulness is signifi-cantly positive towards investors’ intention to adopt robo-advisor. Perceived usefulness is identified to have stronger influence, means that show a greater intention to adopt robo-advisor if they perceived the system is beneficial in ad-vising investment recommendation. The model also </w:t>
      </w:r>
      <w:proofErr w:type="gramStart"/>
      <w:r w:rsidR="00C072F1" w:rsidRPr="00C072F1">
        <w:rPr>
          <w:rFonts w:ascii="Arial" w:hAnsi="Arial" w:cs="Arial"/>
          <w:sz w:val="20"/>
          <w:szCs w:val="20"/>
        </w:rPr>
        <w:t>present</w:t>
      </w:r>
      <w:proofErr w:type="gramEnd"/>
      <w:r w:rsidR="00C072F1" w:rsidRPr="00C072F1">
        <w:rPr>
          <w:rFonts w:ascii="Arial" w:hAnsi="Arial" w:cs="Arial"/>
          <w:sz w:val="20"/>
          <w:szCs w:val="20"/>
        </w:rPr>
        <w:t xml:space="preserve"> strong predictive capabilities and explanatory. This study highlights the valuable insight for fintech providers for improving functionality and effectiveness of robo-advisor platforms to increase the users rate adoption. For researchers, this study en-riches the existing literature by offering evidence on key factors that determine robo-advisor adoption.</w:t>
      </w:r>
    </w:p>
    <w:p w14:paraId="20D00E4B" w14:textId="77777777" w:rsidR="008A2BE4" w:rsidRDefault="008A2BE4" w:rsidP="00A51969">
      <w:pPr>
        <w:spacing w:after="0" w:line="240" w:lineRule="auto"/>
        <w:jc w:val="both"/>
        <w:rPr>
          <w:rFonts w:ascii="Arial" w:hAnsi="Arial" w:cs="Arial"/>
          <w:sz w:val="20"/>
          <w:szCs w:val="20"/>
        </w:rPr>
      </w:pPr>
    </w:p>
    <w:p w14:paraId="6280A6B4" w14:textId="188AD312"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Aileen Salvia, Alyayola Talman, Julie Amanda, Jocelyn Kesuma and Linda Wedari. The Effect of AI-Based Robo Advisor on Investment Decision Making Among Retailer Investors</w:t>
      </w:r>
    </w:p>
    <w:p w14:paraId="7C882559" w14:textId="5018686A"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The rise of investors in Indonesia has boosted the use of digital technology in investing, like AI-based robo-advisors. These platforms give automated recommendations for investments, assess risks, and manage portfolio to make more informed decisions. This study aims how robo-advisors affect decision-making for retail investors. Specifically, this research looks at two key aspects of robo-advisors: technology perception and technological capability. Based on behavioral finance, this study looks at how automated tools mitigate human limitations, such as bounded rationality, information constraints, and cognitive errors driven by prospect theory. Data collected from a questionnaire sent out to retail investors using robo-advisors, which got 450 valid responses. The study shows that investors have positive views on robo-advisors’ ease of use and how useful they are. Overall, the findings suggest that robo-advisors lead to tidier, more logical, and data backed investment moves. By showing these effects, the study adds to financial technology and behavioral finance by offering empirical proof of how AI optimizes retail investment decisions in an emerging market.</w:t>
      </w:r>
    </w:p>
    <w:p w14:paraId="02552C22" w14:textId="77777777" w:rsidR="008A2BE4" w:rsidRDefault="008A2BE4" w:rsidP="00A51969">
      <w:pPr>
        <w:spacing w:after="0" w:line="240" w:lineRule="auto"/>
        <w:jc w:val="both"/>
        <w:rPr>
          <w:rFonts w:ascii="Arial" w:hAnsi="Arial" w:cs="Arial"/>
          <w:sz w:val="20"/>
          <w:szCs w:val="20"/>
        </w:rPr>
      </w:pPr>
    </w:p>
    <w:p w14:paraId="0E0DBEFF" w14:textId="2BB9649A"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Brandon Edmund Haranata. The Role of Digital Transformation in Mitigating Tax Aggressiveness in Energy and Industrial Companies</w:t>
      </w:r>
    </w:p>
    <w:p w14:paraId="4064F342" w14:textId="37FF8088"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The purpose of this research is to study the role of digital transformation in reducing tax aggressiveness in energy and industrial sector companies listed on the Indonesia Stock Exchange for 2021-2025. Tax aggressiveness is measured by the Effective Tax Rate (ETR), where higher ETR values indicate lower levels of tax aggressiveness. Digital transformation, as proxied by AIKeywordLN, indicates the number of occurrences of keywords associated with Artificial Intelligence and digital transformation in annual reports and sustainability reports. The study includes leverage, profitability and capital intensity as control variables as well. This research employs a purposive sampling technique in which the study obtained 173 observations of 38 companies from the initial data selection and outlier processing stages. The Random Effects Model with standard errors clustered at the firm level was used to analyze the panel data. The results indicate that the moderated variable AIKeywordLN positively and significantly affects ETR. More specifically, it implies that firms with a greater intention for disclosure on digital transformation tend to exhibit less tax aggressiveness. In addition, the analysis of subsamples shows that digital transformation has an increased effect on ETR when profitability is above the median level. This finding provides support for the Agency Theory and Slippery Slope Framework, which argue that digital transformation can lead to increased transparency, internal control, decrease in information asymmetry and ultimately improved tax compliance.</w:t>
      </w:r>
    </w:p>
    <w:p w14:paraId="5DD0BB96" w14:textId="77777777" w:rsidR="008A2BE4" w:rsidRDefault="008A2BE4" w:rsidP="00A51969">
      <w:pPr>
        <w:spacing w:after="0" w:line="240" w:lineRule="auto"/>
        <w:jc w:val="both"/>
        <w:rPr>
          <w:rFonts w:ascii="Arial" w:hAnsi="Arial" w:cs="Arial"/>
          <w:sz w:val="20"/>
          <w:szCs w:val="20"/>
        </w:rPr>
      </w:pPr>
    </w:p>
    <w:p w14:paraId="7BD514C6" w14:textId="4AD16306"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Santiena Prudence, Erwin Halim and Bambang Leo Handoko. From Fans to Victims: How Important Is Financial Literacy for Concert Ticket Cybercrime Victims?</w:t>
      </w:r>
    </w:p>
    <w:p w14:paraId="388ADC0D" w14:textId="7C93623D"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lastRenderedPageBreak/>
        <w:t>Abstract:</w:t>
      </w:r>
      <w:r w:rsidR="00C072F1" w:rsidRPr="00C072F1">
        <w:rPr>
          <w:rFonts w:ascii="Arial" w:hAnsi="Arial" w:cs="Arial"/>
          <w:sz w:val="20"/>
          <w:szCs w:val="20"/>
        </w:rPr>
        <w:t xml:space="preserve"> The paper assesses behavioral factors related to fraud victimization among consumers purchasing concert tickets through social media platforms by applying Theory of Planned Behavior (TPB) framework. The increasing number of ticket scams and transactions with unverified sellers has heightened fraud risks for consumers. This preliminary study integrates Partial Least Squares Structural Equation Modeling (PLS-SEM) and a Design Science Research (DSR)-inspired artifact design approach. Data was gathered using an online questionnaire, yielding 88 responses, of which 50 valid responses from individuals who had experienced concert ticket fraud were analyzed using SmartPLS 4. The findings show that financial literacy significantly influences vigilance, while vigilance, cybercrime, purchase intention, and purchase behavior significantly affect fraud victimization. Based on these findings, this study proposes a conceptual fraud-prevention workflow integrating fraud detection, warning notifications, and vigilance-support mechanisms to promote safer online ticket transactions.</w:t>
      </w:r>
    </w:p>
    <w:p w14:paraId="0AADDBAE" w14:textId="77777777" w:rsidR="008A2BE4" w:rsidRDefault="008A2BE4" w:rsidP="00A51969">
      <w:pPr>
        <w:spacing w:after="0" w:line="240" w:lineRule="auto"/>
        <w:jc w:val="both"/>
        <w:rPr>
          <w:rFonts w:ascii="Arial" w:hAnsi="Arial" w:cs="Arial"/>
          <w:sz w:val="20"/>
          <w:szCs w:val="20"/>
        </w:rPr>
      </w:pPr>
    </w:p>
    <w:p w14:paraId="4228BCC2" w14:textId="3EC79BB9"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Irma Novianty Munte, Erwin Halim and Bambang Leo Handoko. Why Do We Shop Unconsciously? Exploring Parasocial Relationships with Micro-Influencers and FoMO on Social Media</w:t>
      </w:r>
    </w:p>
    <w:p w14:paraId="2FDE36BE" w14:textId="77ACB1AC"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The rapid rise of social media influencer marketing, particularly on platforms like TikTok, has had a massive influence on consumer buying behaviors through psychological elements such as parasocial relationships, perceived authenticity, and fear of missing out (FoMO). This preliminary study adopts a combination of SmartPLS-SEM and Design Science Research to investigate the effect of micro-influencer content on online impulse buying behavior by involving 42 social media users in the Indonesia region using purposive sampling. The study consists of 7 variables, 35 indicators, and 7 hypotheses. Data were collected through an online survey conducted in May 2026. This study proposes a digital intervention system, represented through flowchart and use case designs, to increase awareness of persuasive tactics in influencer content and help reduce impulsive consumption behavior in the digital marketing era.</w:t>
      </w:r>
    </w:p>
    <w:p w14:paraId="64AC3DB1" w14:textId="77777777" w:rsidR="008A2BE4" w:rsidRDefault="008A2BE4" w:rsidP="00A51969">
      <w:pPr>
        <w:spacing w:after="0" w:line="240" w:lineRule="auto"/>
        <w:jc w:val="both"/>
        <w:rPr>
          <w:rFonts w:ascii="Arial" w:hAnsi="Arial" w:cs="Arial"/>
          <w:sz w:val="20"/>
          <w:szCs w:val="20"/>
        </w:rPr>
      </w:pPr>
    </w:p>
    <w:p w14:paraId="7AE6EFCF" w14:textId="08D4BEE6"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William Cundana, Erwin Halim and Linda Kusumaning Wedari. Analyzing Impulsive Buying and Risky Indebtedness Behavior in The Use of Buy Now Pay Later (BNPL) Services</w:t>
      </w:r>
    </w:p>
    <w:p w14:paraId="088AE1C5" w14:textId="3ADFDB66"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This preliminary study examines the influence of various factors on the intention to use Pay Later services and their relationship with risky indebtedness behav-ior. The study adopts a mixed-method approach by integrating Partial Least Squares Structural Equation Modeling (PLS-SEM) and Design Science Research (DSR). Data was collected in May 2026 through an online survey distributed via Google Forms to respondents that have used BNPL or Pay later with 45 valid responses analyzed using SmartPLS4. The data was collected using purposive sampling from pay later users. The findings reveal that perceived risk signifi-cantly affects risky indebtedness behavior, perceived trust, and self-control. Per-ceived trust, self-control, and risky indebtedness behavior were also found to significantly influence users’ intention to adopt BNPL services. In addition, self-control significantly affects impulsive buying behavior, while impulsive buying and intention to adopt BNPL significantly influence financial wellbeing. The study further proposes an AI-driven artifact designed to improve responsible lending decisions through behavioral credit scoring, and financial risk monitoring. This research contributes to the understanding of behavioral and psychological fac-tors affecting BNPL adoption and highlights the importance of financial risk governance in digital payment ecosystems.</w:t>
      </w:r>
    </w:p>
    <w:p w14:paraId="56A7D17D" w14:textId="77777777" w:rsidR="009E7638" w:rsidRDefault="009E7638" w:rsidP="00A51969">
      <w:pPr>
        <w:spacing w:after="0" w:line="240" w:lineRule="auto"/>
        <w:jc w:val="both"/>
        <w:rPr>
          <w:rFonts w:ascii="Arial" w:hAnsi="Arial" w:cs="Arial"/>
          <w:sz w:val="20"/>
          <w:szCs w:val="20"/>
        </w:rPr>
      </w:pPr>
    </w:p>
    <w:p w14:paraId="530408EC" w14:textId="01E2035E"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Nurul Azlin Liyana and Muhammad Helmi Norman. Reframing Programming Education in the Age of Generative AI: A Critical Review of Pedagogy, Equity, Ethics, and Institutional Readiness</w:t>
      </w:r>
    </w:p>
    <w:p w14:paraId="1407465B" w14:textId="043BD77F"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The Generative artificial intelligence tools, including ChatGPT and GitHub Copilot, are increasingly</w:t>
      </w:r>
      <w:r w:rsidR="00596306">
        <w:rPr>
          <w:rFonts w:ascii="Arial" w:hAnsi="Arial" w:cs="Arial"/>
          <w:sz w:val="20"/>
          <w:szCs w:val="20"/>
        </w:rPr>
        <w:t xml:space="preserve"> </w:t>
      </w:r>
      <w:r w:rsidR="00C072F1" w:rsidRPr="00C072F1">
        <w:rPr>
          <w:rFonts w:ascii="Arial" w:hAnsi="Arial" w:cs="Arial"/>
          <w:sz w:val="20"/>
          <w:szCs w:val="20"/>
        </w:rPr>
        <w:t>influencing the teaching and learning of programming in higher education. Although these tools can</w:t>
      </w:r>
      <w:r w:rsidR="00596306">
        <w:rPr>
          <w:rFonts w:ascii="Arial" w:hAnsi="Arial" w:cs="Arial"/>
          <w:sz w:val="20"/>
          <w:szCs w:val="20"/>
        </w:rPr>
        <w:t xml:space="preserve"> </w:t>
      </w:r>
      <w:r w:rsidR="00C072F1" w:rsidRPr="00C072F1">
        <w:rPr>
          <w:rFonts w:ascii="Arial" w:hAnsi="Arial" w:cs="Arial"/>
          <w:sz w:val="20"/>
          <w:szCs w:val="20"/>
        </w:rPr>
        <w:t>support code generation, debugging, personalised feedback, and differentiated learning, their</w:t>
      </w:r>
      <w:r w:rsidR="00596306">
        <w:rPr>
          <w:rFonts w:ascii="Arial" w:hAnsi="Arial" w:cs="Arial"/>
          <w:sz w:val="20"/>
          <w:szCs w:val="20"/>
        </w:rPr>
        <w:t xml:space="preserve"> </w:t>
      </w:r>
      <w:r w:rsidR="00C072F1" w:rsidRPr="00C072F1">
        <w:rPr>
          <w:rFonts w:ascii="Arial" w:hAnsi="Arial" w:cs="Arial"/>
          <w:sz w:val="20"/>
          <w:szCs w:val="20"/>
        </w:rPr>
        <w:t>educational value depends largely on how they are introduced and governed within institutions. This</w:t>
      </w:r>
      <w:r w:rsidR="00596306">
        <w:rPr>
          <w:rFonts w:ascii="Arial" w:hAnsi="Arial" w:cs="Arial"/>
          <w:sz w:val="20"/>
          <w:szCs w:val="20"/>
        </w:rPr>
        <w:t xml:space="preserve"> </w:t>
      </w:r>
      <w:r w:rsidR="00C072F1" w:rsidRPr="00C072F1">
        <w:rPr>
          <w:rFonts w:ascii="Arial" w:hAnsi="Arial" w:cs="Arial"/>
          <w:sz w:val="20"/>
          <w:szCs w:val="20"/>
        </w:rPr>
        <w:t>critical review synthesises findings from 27 selected studies identified through Scopus,</w:t>
      </w:r>
      <w:r w:rsidR="00596306">
        <w:rPr>
          <w:rFonts w:ascii="Arial" w:hAnsi="Arial" w:cs="Arial"/>
          <w:sz w:val="20"/>
          <w:szCs w:val="20"/>
        </w:rPr>
        <w:t xml:space="preserve"> </w:t>
      </w:r>
      <w:r w:rsidR="00C072F1" w:rsidRPr="00C072F1">
        <w:rPr>
          <w:rFonts w:ascii="Arial" w:hAnsi="Arial" w:cs="Arial"/>
          <w:sz w:val="20"/>
          <w:szCs w:val="20"/>
        </w:rPr>
        <w:t>ScienceDirect, SpringerLink, and IEEE Xplore. Braun and Clarke’s six-phase thematic analysis was</w:t>
      </w:r>
      <w:r w:rsidR="00596306">
        <w:rPr>
          <w:rFonts w:ascii="Arial" w:hAnsi="Arial" w:cs="Arial"/>
          <w:sz w:val="20"/>
          <w:szCs w:val="20"/>
        </w:rPr>
        <w:t xml:space="preserve"> </w:t>
      </w:r>
      <w:r w:rsidR="00C072F1" w:rsidRPr="00C072F1">
        <w:rPr>
          <w:rFonts w:ascii="Arial" w:hAnsi="Arial" w:cs="Arial"/>
          <w:sz w:val="20"/>
          <w:szCs w:val="20"/>
        </w:rPr>
        <w:t>used to examine recurring issues across the selected literature. Four interrelated themes emerged:</w:t>
      </w:r>
      <w:r w:rsidR="00596306">
        <w:rPr>
          <w:rFonts w:ascii="Arial" w:hAnsi="Arial" w:cs="Arial"/>
          <w:sz w:val="20"/>
          <w:szCs w:val="20"/>
        </w:rPr>
        <w:t xml:space="preserve"> </w:t>
      </w:r>
      <w:r w:rsidR="00C072F1" w:rsidRPr="00C072F1">
        <w:rPr>
          <w:rFonts w:ascii="Arial" w:hAnsi="Arial" w:cs="Arial"/>
          <w:sz w:val="20"/>
          <w:szCs w:val="20"/>
        </w:rPr>
        <w:t>pedagogical adaptation, digital equity and infrastructure, academic integrity, and educator agency.</w:t>
      </w:r>
      <w:r w:rsidR="00596306">
        <w:rPr>
          <w:rFonts w:ascii="Arial" w:hAnsi="Arial" w:cs="Arial"/>
          <w:sz w:val="20"/>
          <w:szCs w:val="20"/>
        </w:rPr>
        <w:t xml:space="preserve"> </w:t>
      </w:r>
      <w:r w:rsidR="00C072F1" w:rsidRPr="00C072F1">
        <w:rPr>
          <w:rFonts w:ascii="Arial" w:hAnsi="Arial" w:cs="Arial"/>
          <w:sz w:val="20"/>
          <w:szCs w:val="20"/>
        </w:rPr>
        <w:t>The findings suggest that meaningful AI integration requires more than access to advanced</w:t>
      </w:r>
      <w:r w:rsidR="00596306">
        <w:rPr>
          <w:rFonts w:ascii="Arial" w:hAnsi="Arial" w:cs="Arial"/>
          <w:sz w:val="20"/>
          <w:szCs w:val="20"/>
        </w:rPr>
        <w:t xml:space="preserve"> </w:t>
      </w:r>
      <w:r w:rsidR="00C072F1" w:rsidRPr="00C072F1">
        <w:rPr>
          <w:rFonts w:ascii="Arial" w:hAnsi="Arial" w:cs="Arial"/>
          <w:sz w:val="20"/>
          <w:szCs w:val="20"/>
        </w:rPr>
        <w:t>technologies. Educators also need institutional support, clear guidance on responsible AI use, and</w:t>
      </w:r>
      <w:r w:rsidR="00596306">
        <w:rPr>
          <w:rFonts w:ascii="Arial" w:hAnsi="Arial" w:cs="Arial"/>
          <w:sz w:val="20"/>
          <w:szCs w:val="20"/>
        </w:rPr>
        <w:t xml:space="preserve"> </w:t>
      </w:r>
      <w:r w:rsidR="00C072F1" w:rsidRPr="00C072F1">
        <w:rPr>
          <w:rFonts w:ascii="Arial" w:hAnsi="Arial" w:cs="Arial"/>
          <w:sz w:val="20"/>
          <w:szCs w:val="20"/>
        </w:rPr>
        <w:t>professional development that enables them to evaluate AI-generated outputs and redesign learning</w:t>
      </w:r>
      <w:r w:rsidR="00596306">
        <w:rPr>
          <w:rFonts w:ascii="Arial" w:hAnsi="Arial" w:cs="Arial"/>
          <w:sz w:val="20"/>
          <w:szCs w:val="20"/>
        </w:rPr>
        <w:t xml:space="preserve"> </w:t>
      </w:r>
      <w:r w:rsidR="00C072F1" w:rsidRPr="00C072F1">
        <w:rPr>
          <w:rFonts w:ascii="Arial" w:hAnsi="Arial" w:cs="Arial"/>
          <w:sz w:val="20"/>
          <w:szCs w:val="20"/>
        </w:rPr>
        <w:t>activities and assessments. The review further highlights inequalities between well-resourced and</w:t>
      </w:r>
      <w:r w:rsidR="00596306">
        <w:rPr>
          <w:rFonts w:ascii="Arial" w:hAnsi="Arial" w:cs="Arial"/>
          <w:sz w:val="20"/>
          <w:szCs w:val="20"/>
        </w:rPr>
        <w:t xml:space="preserve"> </w:t>
      </w:r>
      <w:r w:rsidR="00C072F1" w:rsidRPr="00C072F1">
        <w:rPr>
          <w:rFonts w:ascii="Arial" w:hAnsi="Arial" w:cs="Arial"/>
          <w:sz w:val="20"/>
          <w:szCs w:val="20"/>
        </w:rPr>
        <w:t>under-resourced institutions, particularly in Southeast Asian contexts, where limited infrastructure,</w:t>
      </w:r>
      <w:r w:rsidR="00596306">
        <w:rPr>
          <w:rFonts w:ascii="Arial" w:hAnsi="Arial" w:cs="Arial"/>
          <w:sz w:val="20"/>
          <w:szCs w:val="20"/>
        </w:rPr>
        <w:t xml:space="preserve"> </w:t>
      </w:r>
      <w:r w:rsidR="00C072F1" w:rsidRPr="00C072F1">
        <w:rPr>
          <w:rFonts w:ascii="Arial" w:hAnsi="Arial" w:cs="Arial"/>
          <w:sz w:val="20"/>
          <w:szCs w:val="20"/>
        </w:rPr>
        <w:t>funding, and policy support may restrict equitable access to AI-enhanced learning. A conceptual</w:t>
      </w:r>
      <w:r w:rsidR="00596306">
        <w:rPr>
          <w:rFonts w:ascii="Arial" w:hAnsi="Arial" w:cs="Arial"/>
          <w:sz w:val="20"/>
          <w:szCs w:val="20"/>
        </w:rPr>
        <w:t xml:space="preserve"> </w:t>
      </w:r>
      <w:r w:rsidR="00C072F1" w:rsidRPr="00C072F1">
        <w:rPr>
          <w:rFonts w:ascii="Arial" w:hAnsi="Arial" w:cs="Arial"/>
          <w:sz w:val="20"/>
          <w:szCs w:val="20"/>
        </w:rPr>
        <w:t>framework is proposed to illustrate how pedagogical practice, ethical governance, educator</w:t>
      </w:r>
      <w:r w:rsidR="00596306">
        <w:rPr>
          <w:rFonts w:ascii="Arial" w:hAnsi="Arial" w:cs="Arial"/>
          <w:sz w:val="20"/>
          <w:szCs w:val="20"/>
        </w:rPr>
        <w:t xml:space="preserve"> </w:t>
      </w:r>
      <w:r w:rsidR="00C072F1" w:rsidRPr="00C072F1">
        <w:rPr>
          <w:rFonts w:ascii="Arial" w:hAnsi="Arial" w:cs="Arial"/>
          <w:sz w:val="20"/>
          <w:szCs w:val="20"/>
        </w:rPr>
        <w:t>autonomy, and digital equity interact within the broader context of institutional readiness. The</w:t>
      </w:r>
      <w:r w:rsidR="00596306">
        <w:rPr>
          <w:rFonts w:ascii="Arial" w:hAnsi="Arial" w:cs="Arial"/>
          <w:sz w:val="20"/>
          <w:szCs w:val="20"/>
        </w:rPr>
        <w:t xml:space="preserve"> </w:t>
      </w:r>
      <w:r w:rsidR="00C072F1" w:rsidRPr="00C072F1">
        <w:rPr>
          <w:rFonts w:ascii="Arial" w:hAnsi="Arial" w:cs="Arial"/>
          <w:sz w:val="20"/>
          <w:szCs w:val="20"/>
        </w:rPr>
        <w:t>review concludes that sustainable AI integration in programming education requires coordinated</w:t>
      </w:r>
      <w:r w:rsidR="00596306">
        <w:rPr>
          <w:rFonts w:ascii="Arial" w:hAnsi="Arial" w:cs="Arial"/>
          <w:sz w:val="20"/>
          <w:szCs w:val="20"/>
        </w:rPr>
        <w:t xml:space="preserve"> </w:t>
      </w:r>
      <w:r w:rsidR="00C072F1" w:rsidRPr="00C072F1">
        <w:rPr>
          <w:rFonts w:ascii="Arial" w:hAnsi="Arial" w:cs="Arial"/>
          <w:sz w:val="20"/>
          <w:szCs w:val="20"/>
        </w:rPr>
        <w:t>institutional policies, targeted professional development, equitable access to digital resources, and</w:t>
      </w:r>
      <w:r w:rsidR="00596306">
        <w:rPr>
          <w:rFonts w:ascii="Arial" w:hAnsi="Arial" w:cs="Arial"/>
          <w:sz w:val="20"/>
          <w:szCs w:val="20"/>
        </w:rPr>
        <w:t xml:space="preserve"> </w:t>
      </w:r>
      <w:r w:rsidR="00C072F1" w:rsidRPr="00C072F1">
        <w:rPr>
          <w:rFonts w:ascii="Arial" w:hAnsi="Arial" w:cs="Arial"/>
          <w:sz w:val="20"/>
          <w:szCs w:val="20"/>
        </w:rPr>
        <w:t xml:space="preserve">an approach that positions AI as a support for learning rather than a replacement for </w:t>
      </w:r>
      <w:r w:rsidR="00C072F1" w:rsidRPr="00C072F1">
        <w:rPr>
          <w:rFonts w:ascii="Arial" w:hAnsi="Arial" w:cs="Arial"/>
          <w:sz w:val="20"/>
          <w:szCs w:val="20"/>
        </w:rPr>
        <w:lastRenderedPageBreak/>
        <w:t>human</w:t>
      </w:r>
      <w:r w:rsidR="00596306">
        <w:rPr>
          <w:rFonts w:ascii="Arial" w:hAnsi="Arial" w:cs="Arial"/>
          <w:sz w:val="20"/>
          <w:szCs w:val="20"/>
        </w:rPr>
        <w:t xml:space="preserve"> </w:t>
      </w:r>
      <w:r w:rsidR="00C072F1" w:rsidRPr="00C072F1">
        <w:rPr>
          <w:rFonts w:ascii="Arial" w:hAnsi="Arial" w:cs="Arial"/>
          <w:sz w:val="20"/>
          <w:szCs w:val="20"/>
        </w:rPr>
        <w:t>judgement. These findings offer practical implications for educators, curriculum designers,</w:t>
      </w:r>
      <w:r w:rsidR="00596306">
        <w:rPr>
          <w:rFonts w:ascii="Arial" w:hAnsi="Arial" w:cs="Arial"/>
          <w:sz w:val="20"/>
          <w:szCs w:val="20"/>
        </w:rPr>
        <w:t xml:space="preserve"> </w:t>
      </w:r>
      <w:r w:rsidR="00C072F1" w:rsidRPr="00C072F1">
        <w:rPr>
          <w:rFonts w:ascii="Arial" w:hAnsi="Arial" w:cs="Arial"/>
          <w:sz w:val="20"/>
          <w:szCs w:val="20"/>
        </w:rPr>
        <w:t>institutional leaders, and researchers concerned with responsible AI adoption in higher education.</w:t>
      </w:r>
    </w:p>
    <w:p w14:paraId="186E8CC3" w14:textId="77777777" w:rsidR="00596306" w:rsidRDefault="00596306" w:rsidP="00A51969">
      <w:pPr>
        <w:spacing w:after="0" w:line="240" w:lineRule="auto"/>
        <w:jc w:val="both"/>
        <w:rPr>
          <w:rFonts w:ascii="Arial" w:hAnsi="Arial" w:cs="Arial"/>
          <w:sz w:val="20"/>
          <w:szCs w:val="20"/>
        </w:rPr>
      </w:pPr>
    </w:p>
    <w:p w14:paraId="7622C521" w14:textId="57A2B7B5"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Nicholas Thenoch and Abiyu Firman. When Informed Capital Exits, Do Stock Prices Continue to Rise? The Role of Retail Investor Herding in Price Formation in the Indonesian Stock Market</w:t>
      </w:r>
    </w:p>
    <w:p w14:paraId="372049CE" w14:textId="1704211D"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This study investigates how concentrated foreign capital exits affect the short-run price</w:t>
      </w:r>
      <w:r w:rsidR="00596306">
        <w:rPr>
          <w:rFonts w:ascii="Arial" w:hAnsi="Arial" w:cs="Arial"/>
          <w:sz w:val="20"/>
          <w:szCs w:val="20"/>
        </w:rPr>
        <w:t xml:space="preserve"> </w:t>
      </w:r>
      <w:r w:rsidR="00C072F1" w:rsidRPr="00C072F1">
        <w:rPr>
          <w:rFonts w:ascii="Arial" w:hAnsi="Arial" w:cs="Arial"/>
          <w:sz w:val="20"/>
          <w:szCs w:val="20"/>
        </w:rPr>
        <w:t>path of large-capitalisation Indonesian equities, and whether that response changed as</w:t>
      </w:r>
      <w:r w:rsidR="00596306">
        <w:rPr>
          <w:rFonts w:ascii="Arial" w:hAnsi="Arial" w:cs="Arial"/>
          <w:sz w:val="20"/>
          <w:szCs w:val="20"/>
        </w:rPr>
        <w:t xml:space="preserve"> </w:t>
      </w:r>
      <w:r w:rsidR="00C072F1" w:rsidRPr="00C072F1">
        <w:rPr>
          <w:rFonts w:ascii="Arial" w:hAnsi="Arial" w:cs="Arial"/>
          <w:sz w:val="20"/>
          <w:szCs w:val="20"/>
        </w:rPr>
        <w:t>domestic participation expanded after 2021. The study uses daily stock-day data for</w:t>
      </w:r>
      <w:r w:rsidR="00596306">
        <w:rPr>
          <w:rFonts w:ascii="Arial" w:hAnsi="Arial" w:cs="Arial"/>
          <w:sz w:val="20"/>
          <w:szCs w:val="20"/>
        </w:rPr>
        <w:t xml:space="preserve"> </w:t>
      </w:r>
      <w:r w:rsidR="00C072F1" w:rsidRPr="00C072F1">
        <w:rPr>
          <w:rFonts w:ascii="Arial" w:hAnsi="Arial" w:cs="Arial"/>
          <w:sz w:val="20"/>
          <w:szCs w:val="20"/>
        </w:rPr>
        <w:t>seventeen large-capitalization Indonesia stock market constituents continuously traded</w:t>
      </w:r>
      <w:r w:rsidR="00596306">
        <w:rPr>
          <w:rFonts w:ascii="Arial" w:hAnsi="Arial" w:cs="Arial"/>
          <w:sz w:val="20"/>
          <w:szCs w:val="20"/>
        </w:rPr>
        <w:t xml:space="preserve"> </w:t>
      </w:r>
      <w:r w:rsidR="00C072F1" w:rsidRPr="00C072F1">
        <w:rPr>
          <w:rFonts w:ascii="Arial" w:hAnsi="Arial" w:cs="Arial"/>
          <w:sz w:val="20"/>
          <w:szCs w:val="20"/>
        </w:rPr>
        <w:t>over the sample period, we estimate with a fixed-effects model (FEM): each stock</w:t>
      </w:r>
      <w:r w:rsidR="00596306">
        <w:rPr>
          <w:rFonts w:ascii="Arial" w:hAnsi="Arial" w:cs="Arial"/>
          <w:sz w:val="20"/>
          <w:szCs w:val="20"/>
        </w:rPr>
        <w:t xml:space="preserve"> </w:t>
      </w:r>
      <w:r w:rsidR="00C072F1" w:rsidRPr="00C072F1">
        <w:rPr>
          <w:rFonts w:ascii="Arial" w:hAnsi="Arial" w:cs="Arial"/>
          <w:sz w:val="20"/>
          <w:szCs w:val="20"/>
        </w:rPr>
        <w:t>receives its own intercept, absorbing the stable unobserved characteristics of that stock</w:t>
      </w:r>
      <w:r w:rsidR="00596306">
        <w:rPr>
          <w:rFonts w:ascii="Arial" w:hAnsi="Arial" w:cs="Arial"/>
          <w:sz w:val="20"/>
          <w:szCs w:val="20"/>
        </w:rPr>
        <w:t xml:space="preserve"> </w:t>
      </w:r>
      <w:r w:rsidR="00C072F1" w:rsidRPr="00C072F1">
        <w:rPr>
          <w:rFonts w:ascii="Arial" w:hAnsi="Arial" w:cs="Arial"/>
          <w:sz w:val="20"/>
          <w:szCs w:val="20"/>
        </w:rPr>
        <w:t>sector, typical liquidity, ownership, and accounting practice so that effects are</w:t>
      </w:r>
      <w:r w:rsidR="00596306">
        <w:rPr>
          <w:rFonts w:ascii="Arial" w:hAnsi="Arial" w:cs="Arial"/>
          <w:sz w:val="20"/>
          <w:szCs w:val="20"/>
        </w:rPr>
        <w:t xml:space="preserve"> </w:t>
      </w:r>
      <w:r w:rsidR="00C072F1" w:rsidRPr="00C072F1">
        <w:rPr>
          <w:rFonts w:ascii="Arial" w:hAnsi="Arial" w:cs="Arial"/>
          <w:sz w:val="20"/>
          <w:szCs w:val="20"/>
        </w:rPr>
        <w:t>identified from variation within each stock over time. Using 241 cleanly identified</w:t>
      </w:r>
      <w:r w:rsidR="00596306">
        <w:rPr>
          <w:rFonts w:ascii="Arial" w:hAnsi="Arial" w:cs="Arial"/>
          <w:sz w:val="20"/>
          <w:szCs w:val="20"/>
        </w:rPr>
        <w:t xml:space="preserve"> </w:t>
      </w:r>
      <w:r w:rsidR="00C072F1" w:rsidRPr="00C072F1">
        <w:rPr>
          <w:rFonts w:ascii="Arial" w:hAnsi="Arial" w:cs="Arial"/>
          <w:sz w:val="20"/>
          <w:szCs w:val="20"/>
        </w:rPr>
        <w:t>events over 2019–2026, we find that foreign capital exits do impose a real and</w:t>
      </w:r>
      <w:r w:rsidR="00596306">
        <w:rPr>
          <w:rFonts w:ascii="Arial" w:hAnsi="Arial" w:cs="Arial"/>
          <w:sz w:val="20"/>
          <w:szCs w:val="20"/>
        </w:rPr>
        <w:t xml:space="preserve"> </w:t>
      </w:r>
      <w:r w:rsidR="00C072F1" w:rsidRPr="00C072F1">
        <w:rPr>
          <w:rFonts w:ascii="Arial" w:hAnsi="Arial" w:cs="Arial"/>
          <w:sz w:val="20"/>
          <w:szCs w:val="20"/>
        </w:rPr>
        <w:t>economically large price impact, but it is a same-day phenomenon rather than a multiday drift. Event studies that look only at post-event windows would miss it; the impact</w:t>
      </w:r>
      <w:r w:rsidR="00596306">
        <w:rPr>
          <w:rFonts w:ascii="Arial" w:hAnsi="Arial" w:cs="Arial"/>
          <w:sz w:val="20"/>
          <w:szCs w:val="20"/>
        </w:rPr>
        <w:t xml:space="preserve"> </w:t>
      </w:r>
      <w:r w:rsidR="00C072F1" w:rsidRPr="00C072F1">
        <w:rPr>
          <w:rFonts w:ascii="Arial" w:hAnsi="Arial" w:cs="Arial"/>
          <w:sz w:val="20"/>
          <w:szCs w:val="20"/>
        </w:rPr>
        <w:t>is impounded immediately. In the earlier part of the sample this same-day drop was</w:t>
      </w:r>
      <w:r w:rsidR="00596306">
        <w:rPr>
          <w:rFonts w:ascii="Arial" w:hAnsi="Arial" w:cs="Arial"/>
          <w:sz w:val="20"/>
          <w:szCs w:val="20"/>
        </w:rPr>
        <w:t xml:space="preserve"> </w:t>
      </w:r>
      <w:r w:rsidR="00C072F1" w:rsidRPr="00C072F1">
        <w:rPr>
          <w:rFonts w:ascii="Arial" w:hAnsi="Arial" w:cs="Arial"/>
          <w:sz w:val="20"/>
          <w:szCs w:val="20"/>
        </w:rPr>
        <w:t>partly an overreaction: prices recovered by roughly one percentage point over the</w:t>
      </w:r>
      <w:r w:rsidR="00596306">
        <w:rPr>
          <w:rFonts w:ascii="Arial" w:hAnsi="Arial" w:cs="Arial"/>
          <w:sz w:val="20"/>
          <w:szCs w:val="20"/>
        </w:rPr>
        <w:t xml:space="preserve"> </w:t>
      </w:r>
      <w:r w:rsidR="00C072F1" w:rsidRPr="00C072F1">
        <w:rPr>
          <w:rFonts w:ascii="Arial" w:hAnsi="Arial" w:cs="Arial"/>
          <w:sz w:val="20"/>
          <w:szCs w:val="20"/>
        </w:rPr>
        <w:t>following week. The reversal has not grown with domestic participation, it has</w:t>
      </w:r>
      <w:r w:rsidR="00596306">
        <w:rPr>
          <w:rFonts w:ascii="Arial" w:hAnsi="Arial" w:cs="Arial"/>
          <w:sz w:val="20"/>
          <w:szCs w:val="20"/>
        </w:rPr>
        <w:t xml:space="preserve"> </w:t>
      </w:r>
      <w:r w:rsidR="00C072F1" w:rsidRPr="00C072F1">
        <w:rPr>
          <w:rFonts w:ascii="Arial" w:hAnsi="Arial" w:cs="Arial"/>
          <w:sz w:val="20"/>
          <w:szCs w:val="20"/>
        </w:rPr>
        <w:t>disappeared. A coherent interpretation is that as the market has matured and</w:t>
      </w:r>
      <w:r w:rsidR="00596306">
        <w:rPr>
          <w:rFonts w:ascii="Arial" w:hAnsi="Arial" w:cs="Arial"/>
          <w:sz w:val="20"/>
          <w:szCs w:val="20"/>
        </w:rPr>
        <w:t xml:space="preserve"> </w:t>
      </w:r>
      <w:r w:rsidR="00C072F1" w:rsidRPr="00C072F1">
        <w:rPr>
          <w:rFonts w:ascii="Arial" w:hAnsi="Arial" w:cs="Arial"/>
          <w:sz w:val="20"/>
          <w:szCs w:val="20"/>
        </w:rPr>
        <w:t>participation broadened; foreign-selling shocks are no longer systematically overreactions to be faded; instead, the information or pressure they carry is now impounded</w:t>
      </w:r>
      <w:r w:rsidR="00596306">
        <w:rPr>
          <w:rFonts w:ascii="Arial" w:hAnsi="Arial" w:cs="Arial"/>
          <w:sz w:val="20"/>
          <w:szCs w:val="20"/>
        </w:rPr>
        <w:t xml:space="preserve"> </w:t>
      </w:r>
      <w:r w:rsidR="00C072F1" w:rsidRPr="00C072F1">
        <w:rPr>
          <w:rFonts w:ascii="Arial" w:hAnsi="Arial" w:cs="Arial"/>
          <w:sz w:val="20"/>
          <w:szCs w:val="20"/>
        </w:rPr>
        <w:t>more permanently</w:t>
      </w:r>
    </w:p>
    <w:p w14:paraId="7ED07B0F" w14:textId="77777777" w:rsidR="00652930" w:rsidRDefault="00652930" w:rsidP="00A51969">
      <w:pPr>
        <w:spacing w:after="0" w:line="240" w:lineRule="auto"/>
        <w:jc w:val="both"/>
        <w:rPr>
          <w:rFonts w:ascii="Arial" w:hAnsi="Arial" w:cs="Arial"/>
          <w:sz w:val="20"/>
          <w:szCs w:val="20"/>
        </w:rPr>
      </w:pPr>
    </w:p>
    <w:p w14:paraId="6CBC28C4" w14:textId="1B21E810" w:rsidR="00C072F1" w:rsidRPr="00C072F1" w:rsidRDefault="00C072F1" w:rsidP="00A51969">
      <w:pPr>
        <w:spacing w:after="0" w:line="240" w:lineRule="auto"/>
        <w:jc w:val="both"/>
        <w:rPr>
          <w:rFonts w:ascii="Arial" w:hAnsi="Arial" w:cs="Arial"/>
          <w:sz w:val="20"/>
          <w:szCs w:val="20"/>
        </w:rPr>
      </w:pPr>
      <w:r w:rsidRPr="00652930">
        <w:rPr>
          <w:rFonts w:ascii="Arial" w:hAnsi="Arial" w:cs="Arial"/>
          <w:sz w:val="20"/>
          <w:szCs w:val="20"/>
          <w:lang w:val="sv-SE"/>
        </w:rPr>
        <w:t xml:space="preserve">Ananda Ayodhya Novriandany and Linda Kusumaning Wedari. </w:t>
      </w:r>
      <w:r w:rsidRPr="00C072F1">
        <w:rPr>
          <w:rFonts w:ascii="Arial" w:hAnsi="Arial" w:cs="Arial"/>
          <w:sz w:val="20"/>
          <w:szCs w:val="20"/>
        </w:rPr>
        <w:t>Does Artificial Intelligence Adoption and Auditor Competency Matter for Audit Quality? Evidence from Indonesian Construction and Real Estate Sector</w:t>
      </w:r>
    </w:p>
    <w:p w14:paraId="0974EB9B" w14:textId="35E96688"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This study examines the association between Artificial Intelligence (AI) adoption, auditor competency, and audit quality in Indonesian construction and real estate companies listed on the Indonesia Stock Exchange (IDX) during 2023–2025. Audit quality is measured using Abnormal Working Capital Accruals (AWCA), while AI adoption is proxied by Big Four auditor affiliation. Auditor competency is measured using Signee Audit Experience (SEXP), with Signee Audit Education (SEDU) used as an alternative proxy in the robustness test. This study applies panel data regression using the Random Effect Model (REM) with clustered standard errors on 220 firm-year observations selected through purposive sampling. The results show that AI adoption is significantly associated with AWCA. The positive coefficient indicates that Big Four-audited firms tend to exhibit higher abnormal working capital accruals. Therefore, this finding should not be interpreted as evidence that AI adoption improves audit quality. Rather, it indicates a significant association between audit-firm technological capability and AWCA, whose interpretation requires caution in the construction and real estate sector due to its complex accrual environment, including long project cycles, progress billing, contract assets, and revenue recognition estimates. Meanwhile, this study finds no statistically significant association between auditor competency and AWCA. The robustness test confirms that the findings remain consistent when an alternative competency proxy is applied. This study contributes to the literature on technology adoption in auditing by providing evidence from a high-risk, project-based industry in Indonesia.</w:t>
      </w:r>
    </w:p>
    <w:p w14:paraId="21DC4A7A" w14:textId="77777777" w:rsidR="00652930" w:rsidRDefault="00652930" w:rsidP="00A51969">
      <w:pPr>
        <w:spacing w:after="0" w:line="240" w:lineRule="auto"/>
        <w:jc w:val="both"/>
        <w:rPr>
          <w:rFonts w:ascii="Arial" w:hAnsi="Arial" w:cs="Arial"/>
          <w:sz w:val="20"/>
          <w:szCs w:val="20"/>
        </w:rPr>
      </w:pPr>
    </w:p>
    <w:p w14:paraId="657F4B49" w14:textId="67722AAE"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Razanadi Wicaksono, Jeslyn Golycia and Agustinus Winoto. The Generative AI Paradox: Cognitive Load and Audit Fatigue in Fraud Risk Assessment</w:t>
      </w:r>
    </w:p>
    <w:p w14:paraId="5F780F47" w14:textId="1F7795BB"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This study challenges the assumption that Generative AI (GenAI) reduces cognitive load by empirically analysing whether the use of GenAI increases, rather than decreases cognitive load among external auditors in data-driven fraud risk assessment, a phenomenon termed the ‘Generative AI Paradox’. A mechanism-based structural model was tested by combining the Technology Acceptance Model (TAM), Cognitive Load Theory (CLT), and Job Demands-Resources (JD-R) model using Partial Least Squares Structural Equation Modelling (PLS-SEM) on data from 264 practising external auditors in Indonesia. Perceived usefulness was the main predictor for GenAI adoption. Contrary to the cognitive offloading assumption, GenAI usage was positively associated with cognitive load. Cognitive load, in turn, was the strongest direct predictor of audit fatigue and fully mediated the GenAI usage-fatigue pathway. Job demands similarly exerted a significant indirect effect on audit fatigue via cognitive load. These findings provide quantitative structural evidence of the Generative AI Paradox in professional auditing, positioning extraneous cognitive load as the central mechanism through which AI adoption amplifies professional strain in fraud risk assessment contexts.</w:t>
      </w:r>
    </w:p>
    <w:p w14:paraId="715F133E" w14:textId="77777777" w:rsidR="00652930" w:rsidRDefault="00652930" w:rsidP="00A51969">
      <w:pPr>
        <w:spacing w:after="0" w:line="240" w:lineRule="auto"/>
        <w:jc w:val="both"/>
        <w:rPr>
          <w:rFonts w:ascii="Arial" w:hAnsi="Arial" w:cs="Arial"/>
          <w:sz w:val="20"/>
          <w:szCs w:val="20"/>
        </w:rPr>
      </w:pPr>
    </w:p>
    <w:p w14:paraId="1BEEF5E1" w14:textId="541CD688"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Bellatris Aprila Luthfianti and Astri Ghina. Challenges and Successes in Digital Transformation: Organizational Readiness and Information Technology Capability in a Logistics Enterprise</w:t>
      </w:r>
    </w:p>
    <w:p w14:paraId="395B7F79" w14:textId="2F340972"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The fast-growing digital economy and increased competition in the sector of technology-based logistics services has driven a logistics company to accelerate its digital transformation to maintain competitiveness as a national logistics provider. However, numerous initiatives have yet to result in genuine digital transformation. The current progress continues to revolve around transferring manual procedures into </w:t>
      </w:r>
      <w:r w:rsidR="00C072F1" w:rsidRPr="00C072F1">
        <w:rPr>
          <w:rFonts w:ascii="Arial" w:hAnsi="Arial" w:cs="Arial"/>
          <w:sz w:val="20"/>
          <w:szCs w:val="20"/>
        </w:rPr>
        <w:lastRenderedPageBreak/>
        <w:t>technology-based systems, without incorporating significant business innovation. This study aims to analyze the organization's readiness and information technology (IT) capabilities in supporting its digital transformation as a logistics service provider. An exploratory qualitative single-case study approach is used, based on the interpretivist paradigm and inductive reasoning. Data collection was conducted through six in-depth interviews with informants at the strategic, technical, and operational levels. Four main themes were determined: (1) digitalization process has been thoroughly carried out such that all operations are conducted through an integrated digitalized system, but transformative innovation that generates a new business model has not been achieved, (2) human resources emerged as the most influential factor in the digital transformation process, reflected in the digital competency gap, varying levels of acceptance and adaptation to digital change, and challenges in sustaining knowledge transfer as staff rotation repeatedly takes place, (3) variations of IT capabilities among service units were observed, and (4) a high level of operational integration with digital systems was identified. The research contributes an integrated conceptual framework that connects organizational readiness and IT capabilities in the context of logistics enterprises in Indonesia.</w:t>
      </w:r>
    </w:p>
    <w:p w14:paraId="06B7CC14" w14:textId="77777777" w:rsidR="00652930" w:rsidRPr="0009073A" w:rsidRDefault="00652930" w:rsidP="00A51969">
      <w:pPr>
        <w:spacing w:after="0" w:line="240" w:lineRule="auto"/>
        <w:jc w:val="both"/>
        <w:rPr>
          <w:rFonts w:ascii="Arial" w:hAnsi="Arial" w:cs="Arial"/>
          <w:sz w:val="20"/>
          <w:szCs w:val="20"/>
          <w:lang w:val="en-US"/>
        </w:rPr>
      </w:pPr>
    </w:p>
    <w:p w14:paraId="06360A6B" w14:textId="3A591643"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lang w:val="sv-SE"/>
        </w:rPr>
        <w:t xml:space="preserve">Salsabilla Rinaldi and Siska Noviaristanti. </w:t>
      </w:r>
      <w:r w:rsidRPr="00C072F1">
        <w:rPr>
          <w:rFonts w:ascii="Arial" w:hAnsi="Arial" w:cs="Arial"/>
          <w:sz w:val="20"/>
          <w:szCs w:val="20"/>
        </w:rPr>
        <w:t>Digital Transformation as a Pathway to Creative SME Performance</w:t>
      </w:r>
    </w:p>
    <w:p w14:paraId="623A6CF5" w14:textId="1483BABC"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Creative Micro, Small, and Medium Enterprises (MSMEs) play a strategic role in Indonesia’s digital economy, yet many businesses continue to face challenges in translating digital initiatives into improved performance. This study examines the effects of Investment in Digital Technology, Digital Marketing Strategy, Customer Engagement, and Creative Capability on SME Performance, with Digital Transformation serving as a mediating variable. A quantitative approach was employed using survey data collected from 300 creative MSMEs in West Java, Indonesia. The data were analysed using Partial Least Squares Structural Equation Modelling (PLS-SEM). The findings reveal that Investment in Digital Technology, Digital Marketing Strategy, and Customer Engagement significantly influence Digital Transformation, while both Digital Transformation and Creative Capability positively affect SME Performance. Furthermore, Digital Transformation significantly mediates the relationships between digital-related factors and SME Performance. The study contributes to digital transformation literature by demonstrating the complementary role of technological resources and creative capability in enhancing business performance and competitiveness among creative MSMEs.</w:t>
      </w:r>
    </w:p>
    <w:p w14:paraId="569201BA" w14:textId="77777777" w:rsidR="00652930" w:rsidRDefault="00652930" w:rsidP="00A51969">
      <w:pPr>
        <w:spacing w:after="0" w:line="240" w:lineRule="auto"/>
        <w:jc w:val="both"/>
        <w:rPr>
          <w:rFonts w:ascii="Arial" w:hAnsi="Arial" w:cs="Arial"/>
          <w:sz w:val="20"/>
          <w:szCs w:val="20"/>
        </w:rPr>
      </w:pPr>
    </w:p>
    <w:p w14:paraId="7672D4C8" w14:textId="43E8D722"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Maha Bayado. The Helpless Master: Algorithmic Delegation and the Erosion of Moral Agency</w:t>
      </w:r>
    </w:p>
    <w:p w14:paraId="2E59FE6F" w14:textId="2A725AE6"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This conceptual paper draws on Hegel’s Master–Slave dialectic to expose a quiet reversal in the AI-augmented firm. Leaders pose as “Masters,” delegat-ing cognitive labor to algorithms under the illusion of control. However, by outsourcing the friction of sensemaking, relying on sanitized outputs rather than raw reality, they surrender the very struggle through which judgment forms. The algorithmic “Slave,” meanwhile, accumulates embedded compe-tence through relentless processing. The result is cognitive atrophy and moral deskilling. Human leaders become dependent, ceremonial, and increasingly strangers to the logic and ethical weight they enact. This is not efficiency; it is epistemic erosion. When epistemic erosion takes hold, leaders can no longer be held or hold themselves accountable for decisions they merely rubber-stamp. This study employs critical hermeneutics and theoretical syn-thesis to develop a conceptual framework that elucidates the role of algo-rithmic delegation in epistemic erosion and provides five theoretical proposi-tions for subsequent empirical research. To counter this trajectory, this article proposes epistemic resistance: a deliberate return to the unglamorous work of analysis before the prompt. Not rejection of AI, but demotion from oracle to subordinate. Its outputs must be contested, not consumed. The future of leadership will not belong to those who extract answers fastest. It belongs to those who still wrestle with the questions.</w:t>
      </w:r>
    </w:p>
    <w:p w14:paraId="68E8BEB3" w14:textId="77777777" w:rsidR="00652930" w:rsidRDefault="00652930" w:rsidP="00A51969">
      <w:pPr>
        <w:spacing w:after="0" w:line="240" w:lineRule="auto"/>
        <w:jc w:val="both"/>
        <w:rPr>
          <w:rFonts w:ascii="Arial" w:hAnsi="Arial" w:cs="Arial"/>
          <w:sz w:val="20"/>
          <w:szCs w:val="20"/>
        </w:rPr>
      </w:pPr>
    </w:p>
    <w:p w14:paraId="4D82B2E1" w14:textId="45870C1E"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Bonifasius Jason Hendarko, Vincent Junianto and Theresia Lesmana. STOCK MARKET REACTION TO BANK INDONESIA MONETARY POLICY</w:t>
      </w:r>
    </w:p>
    <w:p w14:paraId="2A153150" w14:textId="64CFAAEB"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This study examines the transmission mechanism of domestic monetary policy developments into the Indonesian capital market by isolating the impact of unexpected interest rate innovations from anticipated policy actions. Utilizing daily macroeconomic and equity data spanning from January 2016 to December 2024, the empirical design operates through a dual-track econometric framework. First, a time-series univariate </w:t>
      </w:r>
      <w:proofErr w:type="gramStart"/>
      <w:r w:rsidR="00C072F1" w:rsidRPr="00C072F1">
        <w:rPr>
          <w:rFonts w:ascii="Arial" w:hAnsi="Arial" w:cs="Arial"/>
          <w:sz w:val="20"/>
          <w:szCs w:val="20"/>
        </w:rPr>
        <w:t>GARCH(</w:t>
      </w:r>
      <w:proofErr w:type="gramEnd"/>
      <w:r w:rsidR="00C072F1" w:rsidRPr="00C072F1">
        <w:rPr>
          <w:rFonts w:ascii="Arial" w:hAnsi="Arial" w:cs="Arial"/>
          <w:sz w:val="20"/>
          <w:szCs w:val="20"/>
        </w:rPr>
        <w:t>1,1) model is specified to measure the continuous impact of quantitative policy surprises on aggregate market returns (Rmt) while controlling for domestic inflation, currency shifts, and global risk sentiments. Second, a short-horizon event study is implemented across a balanced panel of 17,496 cross-sectional observations to capture the behavior of Cumulative Abnormal Returns (CAR) within an asymmetric 9-day relative timeline ([t-3, t+5]) surrounding Bank Indonesia’s rate announcements.</w:t>
      </w:r>
    </w:p>
    <w:p w14:paraId="0A11A029" w14:textId="77777777"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 xml:space="preserve">The </w:t>
      </w:r>
      <w:proofErr w:type="gramStart"/>
      <w:r w:rsidRPr="00C072F1">
        <w:rPr>
          <w:rFonts w:ascii="Arial" w:hAnsi="Arial" w:cs="Arial"/>
          <w:sz w:val="20"/>
          <w:szCs w:val="20"/>
        </w:rPr>
        <w:t>GARCH(</w:t>
      </w:r>
      <w:proofErr w:type="gramEnd"/>
      <w:r w:rsidRPr="00C072F1">
        <w:rPr>
          <w:rFonts w:ascii="Arial" w:hAnsi="Arial" w:cs="Arial"/>
          <w:sz w:val="20"/>
          <w:szCs w:val="20"/>
        </w:rPr>
        <w:t>1,1) estimation results show that continuous monetary policy surprises exert a statistically significant negative effect on daily market returns (Rmt) at the 10% significance level (</w:t>
      </w:r>
      <w:r w:rsidRPr="00C072F1">
        <w:rPr>
          <w:rFonts w:ascii="Cambria Math" w:hAnsi="Cambria Math" w:cs="Cambria Math"/>
          <w:sz w:val="20"/>
          <w:szCs w:val="20"/>
        </w:rPr>
        <w:t>𝛼</w:t>
      </w:r>
      <w:r w:rsidRPr="00C072F1">
        <w:rPr>
          <w:rFonts w:ascii="Arial" w:hAnsi="Arial" w:cs="Arial"/>
          <w:sz w:val="20"/>
          <w:szCs w:val="20"/>
        </w:rPr>
        <w:t xml:space="preserve"> = 10%), where an unexpected 100-basis-point target rate hike induces an immediate market correction of approximately 0.20%. Concurrently, global implied volatility (VIX) exhibits a highly significant negative effect on domestic return profiles (p = 0.000), confirming that international fear shocks trigger systematic capital reallocations out of emerging </w:t>
      </w:r>
      <w:r w:rsidRPr="00C072F1">
        <w:rPr>
          <w:rFonts w:ascii="Arial" w:hAnsi="Arial" w:cs="Arial"/>
          <w:sz w:val="20"/>
          <w:szCs w:val="20"/>
        </w:rPr>
        <w:lastRenderedPageBreak/>
        <w:t>markets. On the short-horizon track, the one-sample t-test indicates a statistically significant positive aggregate mean CAR of +0.25% (t = 5.8386, p = 0.0000) surrounding disclosure windows. However, single-factor ANOVA results reveal that variations in the qualitative direction of rates (Dovish, Neutral, and Hawkish categories) fail to significantly differentiate cross-sectional CAR distributions (F = 2.18, p = 0.1136).</w:t>
      </w:r>
    </w:p>
    <w:p w14:paraId="6139ED0E" w14:textId="77777777"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Combined, these empirical findings provide strong evidence for the market anticipation hypothesis. The Indonesian stock exchange acts as a semi-strong efficient market that processes public rate cycles ahead of time, pricing in anticipated target paths and reacting exclusively to continuous, un-anticipated expectational shocks. These findings emphasize the necessity for institutional fund managers to track consensus forecast distributions rather than binary rate choices and highlight the importance of proactive central bank forward guidance to curb unnecessary equity market friction.</w:t>
      </w:r>
    </w:p>
    <w:p w14:paraId="17662ADD" w14:textId="77777777" w:rsidR="00652930" w:rsidRDefault="00652930" w:rsidP="00A51969">
      <w:pPr>
        <w:spacing w:after="0" w:line="240" w:lineRule="auto"/>
        <w:jc w:val="both"/>
        <w:rPr>
          <w:rFonts w:ascii="Arial" w:hAnsi="Arial" w:cs="Arial"/>
          <w:sz w:val="20"/>
          <w:szCs w:val="20"/>
        </w:rPr>
      </w:pPr>
    </w:p>
    <w:p w14:paraId="064819B7" w14:textId="66F67151"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Nazwa Bilbina Aqmar and Agustinus Winoto. Human and Technological Determinants of Investment Instrument Selection: The Moderating Role of Financial Literacy</w:t>
      </w:r>
    </w:p>
    <w:p w14:paraId="170F3CFA" w14:textId="6CC4D0BB"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This study examines the associations between socioeconomic conditions, religi-osity, risk perception, trust in AI-based investment recommendations, and finan-cial investment instrument selection, with financial literacy serving as a moderat-ing variable. Data were collected from 203 respondents through an online ques-tionnaire and analyzed using Partial Least Squares Structural Equation Modeling (PLS-SEM). The results indicate that socioeconomic conditions, religiosity, risk perception, and trust in AI-based investment recommendations are significantly associated with financial investment instrument selection. Among the examined variables, trust in AI-based investment recommendations showed the largest ef-fect, although its practical effect size remained relatively small. Financial literacy significantly moderates only the relationship between trust in AI-based invest-ment recommendations and financial investment instrument selection, while no significant moderating effects were found for socioeconomic conditions, religi-osity, and risk perception. These findings suggest that financial literacy may en-hance investors' ability to utilize AI-based recommendations more effectively. This study contributes to the literature on investment behavior and AI-assisted fi-nancial decision-making while highlighting the complementary roles of traditional and technological determinants in financial investment instrument selection</w:t>
      </w:r>
    </w:p>
    <w:p w14:paraId="37AC4597" w14:textId="77777777" w:rsidR="00652930" w:rsidRDefault="00652930" w:rsidP="00A51969">
      <w:pPr>
        <w:spacing w:after="0" w:line="240" w:lineRule="auto"/>
        <w:jc w:val="both"/>
        <w:rPr>
          <w:rFonts w:ascii="Arial" w:hAnsi="Arial" w:cs="Arial"/>
          <w:sz w:val="20"/>
          <w:szCs w:val="20"/>
        </w:rPr>
      </w:pPr>
    </w:p>
    <w:p w14:paraId="3EA2FED7" w14:textId="745D3AF9"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Ikhsan Alifsyah Rahman, Abid Tjahya Adaby and Darusalam Darusalam. Accounting for Digital Governance: The Roles of Open Government Data, ICT, Intellectual Capital, and Institutional Quality in Strengthening Control of Corruption—Evidence from ASEAN</w:t>
      </w:r>
    </w:p>
    <w:p w14:paraId="0E17448B" w14:textId="7478C882"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Corruption continues to pose a significant obstacle to good governance and</w:t>
      </w:r>
    </w:p>
    <w:p w14:paraId="2DAD3215" w14:textId="77777777"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sustainable development in ASEAN nations. As digital transformation progresses, governments are increasingly dependent on digital governance systems to improve transparency, accountability, and public sector efficacy. This study examines the impact of Open Government Data (OGD), Information and Communication Technology (ICT), Intellectual Capital (InC), and Institutional Quality, indicated by Government Effectiveness (GoE), on the Control of Corruption (CoC) in ASEAN nations. This study utilises balanced panel data with 98 observations and applies the Panel Autoregressive Distributed Lag (Panel ARDL) method to investigate both short-run and long-run relationships among the variables. The empirical findings validate the presence of a stable long-term equilibrium relationship. The Pooled Mean Group (PMG) estimator indicates that Open Government Data significantly improves corruption control in both the short and long term, underscoring the significance of transparency and public access to governmental information in bolstering anti-corruption initiatives. Government Effectiveness has variable outcomes among estimators, indicating that institutional capacity is inadequate without comprehensive governance reforms. Simultaneously, ICT and Intellectual Capital do not demonstrate uniform long-term impacts on corruption control. The results indicate that digital governance projects are most effective when bolstered by robust institutional structures and accountability mechanisms. This study enhances the literature on digital governance and public sector accounting by presenting evidence on the interplay of transparency, technology, knowledge resources, and institutional quality in affecting corruption control in ASEAN nations.</w:t>
      </w:r>
    </w:p>
    <w:p w14:paraId="43D5990C" w14:textId="77777777" w:rsidR="00652930" w:rsidRDefault="00652930" w:rsidP="00A51969">
      <w:pPr>
        <w:spacing w:after="0" w:line="240" w:lineRule="auto"/>
        <w:jc w:val="both"/>
        <w:rPr>
          <w:rFonts w:ascii="Arial" w:hAnsi="Arial" w:cs="Arial"/>
          <w:sz w:val="20"/>
          <w:szCs w:val="20"/>
        </w:rPr>
      </w:pPr>
    </w:p>
    <w:p w14:paraId="68672233" w14:textId="212281AD"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Nathalie Gultom, Nabila Firmansyah, Sherin Jazlin, Syela Kurniawan and Darusalam Darusalam. Analyzing the Effect of Technology Adoption and Firm Size on Indonesian Financial Companies Profitabilities</w:t>
      </w:r>
    </w:p>
    <w:p w14:paraId="5797DECF" w14:textId="1FF95581"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This study empirically examines the effect of technology adoption and firm size on the profitability of Indonesian financial sector companies listed on the Indonesia Stock Exchange (IDX) during 2021–2025. Although Indonesia’s financial sector is undergoing rapid digital transformation, the financial impact of technology adoption, particularly artificial intelligence (AI), remains underexplored beyond the banking subsector and within emerging market settings. Using a balanced panel dataset of 63 firms over five years (315 firm-year observations), this study applies a Random Effect Model (REM) panel regression, supported by the Hausman test (p = 0.0631), and conducts robustness checks using System Generalized Method of Moments (System GMM) with a lag specification of (3,3). Technology adoption is measured through the frequency of AI-</w:t>
      </w:r>
      <w:r w:rsidR="00C072F1" w:rsidRPr="00C072F1">
        <w:rPr>
          <w:rFonts w:ascii="Arial" w:hAnsi="Arial" w:cs="Arial"/>
          <w:sz w:val="20"/>
          <w:szCs w:val="20"/>
        </w:rPr>
        <w:lastRenderedPageBreak/>
        <w:t>related keywords identified in annual reports using Python-based text analysis, while firm size is proxied by the natural logarithm of total assets (LNTA). Profitability is measured by Return on Assets (ROA), with Debt-to-Asset Ratio (DAR), Firm Age, and Cost-to-Income Ratio included as control variables. The findings consistently indicate that neither technology adoption nor firm size has a statistically significant effect on ROA. In contrast, firm age positively and significantly influences profitability, while leverage has a significant negative impact. These results suggest that AI-related disclosure has not yet generated measurable profitability gains and that larger firm size does not necessarily provide a profitability advantage. The study contributes to the literature on digital transformation and corporate performance and offers insights for managers, investors, and policymakers in emerging financial markets.</w:t>
      </w:r>
    </w:p>
    <w:p w14:paraId="614B4EFF" w14:textId="77777777" w:rsidR="00652930" w:rsidRDefault="00652930" w:rsidP="00A51969">
      <w:pPr>
        <w:spacing w:after="0" w:line="240" w:lineRule="auto"/>
        <w:jc w:val="both"/>
        <w:rPr>
          <w:rFonts w:ascii="Arial" w:hAnsi="Arial" w:cs="Arial"/>
          <w:sz w:val="20"/>
          <w:szCs w:val="20"/>
        </w:rPr>
      </w:pPr>
    </w:p>
    <w:p w14:paraId="784B94B2" w14:textId="6A65DFE5"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Raisa Shalom Gultom, Indira Cahyaning Tyas, Steffany Rusli and Tommy Andrian. Beyond Technology: Understanding Tax Digitalization Adoption</w:t>
      </w:r>
    </w:p>
    <w:p w14:paraId="06946748" w14:textId="52DB8479"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The rapid advancement of digital transformation has encouraged governments to modernize tax administration systems through tax digitalization initiatives. However, the successful adoption of tax digitalization among individual </w:t>
      </w:r>
      <w:proofErr w:type="gramStart"/>
      <w:r w:rsidR="00C072F1" w:rsidRPr="00C072F1">
        <w:rPr>
          <w:rFonts w:ascii="Arial" w:hAnsi="Arial" w:cs="Arial"/>
          <w:sz w:val="20"/>
          <w:szCs w:val="20"/>
        </w:rPr>
        <w:t>tax-payers</w:t>
      </w:r>
      <w:proofErr w:type="gramEnd"/>
      <w:r w:rsidR="00C072F1" w:rsidRPr="00C072F1">
        <w:rPr>
          <w:rFonts w:ascii="Arial" w:hAnsi="Arial" w:cs="Arial"/>
          <w:sz w:val="20"/>
          <w:szCs w:val="20"/>
        </w:rPr>
        <w:t xml:space="preserve"> remains a critical challenge. This study aims to examine the effects of Effort Expectancy, Facilitating Conditions, Performance Expectancy, and So-cial Influence on Tax Digitalization Adoption among individual taxpayers re-siding in Jakarta and Tangerang. This study employed a quantitative approach using primary data collected through an online questionnaire distributed via Google Forms. Using a convenience sampling technique, 187 valid responses were obtained from individual taxpayers. The data were analyzed using SmartPLS to evaluate the relationships among the proposed variables. The findings reveal that Effort Expectancy and Social Influence do not have signif-icant effects on Tax Digitalization Adoption. In contrast, Facilitating Condi-tions and Performance Expectancy positively and significantly influence Tax Digitalization Adoption. These results indicate that taxpayers are more likely to adopt digital tax systems when adequate technological infrastructure, sup-port systems, and perceived performance benefits are available. Ease of use and social pressure, however, are not the primary determinants of adoption be-havior. The study implies that individual taxpayers prioritize practical benefits, efficiency, and system support in adopting digital tax services. Therefore, tax authorities and policymakers are encouraged to improve digital infrastructure, system reliability, accessibility, and user support services to enhance taxpay-ers’ confidence and participation in digital tax ecosystems.</w:t>
      </w:r>
    </w:p>
    <w:p w14:paraId="6C82A0F6" w14:textId="77777777" w:rsidR="00652930" w:rsidRDefault="00652930" w:rsidP="00A51969">
      <w:pPr>
        <w:spacing w:after="0" w:line="240" w:lineRule="auto"/>
        <w:jc w:val="both"/>
        <w:rPr>
          <w:rFonts w:ascii="Arial" w:hAnsi="Arial" w:cs="Arial"/>
          <w:sz w:val="20"/>
          <w:szCs w:val="20"/>
        </w:rPr>
      </w:pPr>
    </w:p>
    <w:p w14:paraId="064AD6F4" w14:textId="19B915B6"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Wendy Jonathan, Fico Darryl, Aldrine Yivaldo and Tommy Andrian. Future-Ready Accountants: What Drives AI Adoption Among Accounting Students?</w:t>
      </w:r>
    </w:p>
    <w:p w14:paraId="0024FF0C" w14:textId="28DF1DE5"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This study examines the factors influencing AI Technology Adoption among accounting students in the context of rapidly evolving digital transformation in higher education. As artificial intelligence continues to reshape the accounting profession, understanding students’ readiness and behavioral factors toward AI adoption has become increasingly important. The study aims to analyze the ef-fects of Digital Competence, Technology Readiness, and Perceived Behavioral Control on AI Technology Adoption among accounting students. A quantita-tive approach was employed using primary data collected through an online questionnaire distributed via Google Forms. The study utilized convenience sampling involving 199 active accounting students located in Jakarta and Tan-gerang. Data were analyzed using SmartPLS to evaluate the proposed </w:t>
      </w:r>
      <w:proofErr w:type="gramStart"/>
      <w:r w:rsidR="00C072F1" w:rsidRPr="00C072F1">
        <w:rPr>
          <w:rFonts w:ascii="Arial" w:hAnsi="Arial" w:cs="Arial"/>
          <w:sz w:val="20"/>
          <w:szCs w:val="20"/>
        </w:rPr>
        <w:t>relation-ships</w:t>
      </w:r>
      <w:proofErr w:type="gramEnd"/>
      <w:r w:rsidR="00C072F1" w:rsidRPr="00C072F1">
        <w:rPr>
          <w:rFonts w:ascii="Arial" w:hAnsi="Arial" w:cs="Arial"/>
          <w:sz w:val="20"/>
          <w:szCs w:val="20"/>
        </w:rPr>
        <w:t xml:space="preserve"> among variables. The findings reveal that Digital Competence does not have a significant effect on AI Technology Adoption. In contrast, Technology Readiness and Perceived Behavioral Control positively and significantly influ-ence AI Technology Adoption among accounting students. The study implies that accounting students need to develop adaptive mindsets, technological con-fidence, and readiness to engage with AI-driven tools and learning environ-ments. Higher education institutions are also encouraged to design learning strategies and curricula that strengthen students’ technological readiness and behavioral confidence to better prepare future accounting professionals for the AI-driven digital economy</w:t>
      </w:r>
    </w:p>
    <w:p w14:paraId="286A8690" w14:textId="77777777" w:rsidR="00652930" w:rsidRDefault="00652930" w:rsidP="00A51969">
      <w:pPr>
        <w:spacing w:after="0" w:line="240" w:lineRule="auto"/>
        <w:jc w:val="both"/>
        <w:rPr>
          <w:rFonts w:ascii="Arial" w:hAnsi="Arial" w:cs="Arial"/>
          <w:sz w:val="20"/>
          <w:szCs w:val="20"/>
        </w:rPr>
      </w:pPr>
    </w:p>
    <w:p w14:paraId="26592FE0" w14:textId="77F5B696"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Daniel Nasution, Alisha Puteri, Alya Febryanti, Stephanie Stephanie and Linda Wedari. The Role of Artificial Intelligence in Enhancing Auditor Accountability in Public Accounting Firm in Indonesia</w:t>
      </w:r>
    </w:p>
    <w:p w14:paraId="468E66EA" w14:textId="6D910F6E"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The application of Artificial Intelligence (AI) has become increasingly important in the auditing profession by helping auditors analyze large amounts of data, detect unusual patterns, and improve the accuracy of professional judgments. As audit activities become more demanding, Public Accounting Firms (KAP) in Indonesia are increasingly incorporating AI into their audit processes to enhance performance and promote greater auditor accountability. This research aims to analyze the influence of AI utilization on auditor accountability in Public Accounting Firms (KAP) in Indonesia. A quantitative research method was adopted, and the Partial Least Squares Structural Equation Modeling (PLS-SEM) technique was employed to assess the relationship between AI utilization and auditor accountability. The results demonstrate that AI utilization has a positive and statistically significant influence on auditor accountability. The use of AI enables auditors to conduct more efficient data analysis, identify potential risks and irregular transactions more effectively, and improve </w:t>
      </w:r>
      <w:r w:rsidR="00C072F1" w:rsidRPr="00C072F1">
        <w:rPr>
          <w:rFonts w:ascii="Arial" w:hAnsi="Arial" w:cs="Arial"/>
          <w:sz w:val="20"/>
          <w:szCs w:val="20"/>
        </w:rPr>
        <w:lastRenderedPageBreak/>
        <w:t>compliance with professional auditing standards. Moreover, AI supports the consistency of audit procedures, strengthens the credibility of audit evidence, and assists auditors in making objective and informed decisions. Overall, the findings indicate that AI is an effective tool for enhancing audit quality, reinforcing auditor accountability, and improving the efficiency and reliability of audit practices within Public Accounting Firms.</w:t>
      </w:r>
    </w:p>
    <w:p w14:paraId="7162D797" w14:textId="77777777" w:rsidR="00652930" w:rsidRDefault="00652930" w:rsidP="00A51969">
      <w:pPr>
        <w:spacing w:after="0" w:line="240" w:lineRule="auto"/>
        <w:jc w:val="both"/>
        <w:rPr>
          <w:rFonts w:ascii="Arial" w:hAnsi="Arial" w:cs="Arial"/>
          <w:sz w:val="20"/>
          <w:szCs w:val="20"/>
        </w:rPr>
      </w:pPr>
    </w:p>
    <w:p w14:paraId="600EEC42" w14:textId="67E25850"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Muhammad Naufal Rizky and Astri Ghina. An Analysis of Digital, Network, and Innovation Capability Practices in Culinary SMEs</w:t>
      </w:r>
    </w:p>
    <w:p w14:paraId="378A843B" w14:textId="23546503"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Information-technology adoption among micro and small enterprises (MSEs) is now near-universal, yet adoption rarely predicts e-business success. This study examines the adoption–utilization gap: why small culinary business that have adopted the same e-business channels social commerce, food-delivery platforms, digital payment, and review systems diverge sharply in outcomes. Using an exploratory, interpretive multiple-case design, we studied six small culinary enterprises in Bandung, Indonesia, spanning established businesses and stagnating early-stage ventures in the Global Entrepreneur-ship Monitor (GEM) sense. In-depth interviews, observation, and digital-artifact analysis were coded openly, axially and selectively, and verified by source and theory triangulation, drawing on the Resource-Based View and Dynamic Capability Theory. Every business had adopted e-business technol-ogy, but the decisive differentiator was the depth of post-adoptive use wheth-er platform data drove decisions together with the breadth of network capabil-ity and the structure of the innovation process. Two cross-cutting conditions governed assimilation: the owner’s growth orientation, acting as a cognitive gateway, and human-resource / digital-literacy capacity, acting as the critical enabler. We synthesise the results into a five-level IT-adoption / e-business capability-maturity model (Stagnant/Survival, Community-Locked, Pragmat-ic Safe-Player, Systematized/Institutional, Digital-Native Strategic). The study reframes MSE e-business performance as a problem of deep assimilation and capability integration gated by entrepreneurial cognition, not of technol-ogy access, and offers a diagnostic tool for owners, support institutions and policymakers.</w:t>
      </w:r>
    </w:p>
    <w:p w14:paraId="42418D9B" w14:textId="77777777" w:rsidR="00652930" w:rsidRDefault="00652930" w:rsidP="00A51969">
      <w:pPr>
        <w:spacing w:after="0" w:line="240" w:lineRule="auto"/>
        <w:jc w:val="both"/>
        <w:rPr>
          <w:rFonts w:ascii="Arial" w:hAnsi="Arial" w:cs="Arial"/>
          <w:sz w:val="20"/>
          <w:szCs w:val="20"/>
        </w:rPr>
      </w:pPr>
    </w:p>
    <w:p w14:paraId="57FFA69F" w14:textId="00290F6E"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Sarp Bağcan and Cüneyt Yılmaz. The Summary Trap: AI-Generated News Summaries, Context Compression, and Public Trust in Intelligent Information Systems</w:t>
      </w:r>
    </w:p>
    <w:p w14:paraId="05A7FDC7" w14:textId="4C41863D"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AI-generated news summaries afford users faster and less demanding access to complex public events. While this affordance may appear advantageous in contexts marked by news avoidance, information fatigue, and platformised news consumption, it carries substantial risks. News summaries do not merely condense information; they may reorganise the contextual fabric of a news item, its source attributions, degree of uncertainty, editorial judgment, and the contested processes through which public meaning is produced. This article introduces the concept of the summary trap to account for this risk: the condition in which AI-generated summaries create the impression of rapid, fluent, and comprehensible information while rendering invisible the contextual, source-bound, uncertain, and contested nature of public events. The article proposes a five-mechanism framework - context compression, source flattening, uncertainty reduction, editorial opacity, and the fluency effect - and develops its analysis through the concepts of user encounter, interface authority, embedded narrative effect, and loss of assessability. It argues that the summary trap does not originate in misinformation but in the systemic narrowing of public meaning through automated intermediaries. The article concludes by proposing a risk-sensitive design rationale and contends that the standard brief-summary logic proves inadequate across domains including elections, disasters, health, armed conflict, economics, and social movements.</w:t>
      </w:r>
    </w:p>
    <w:p w14:paraId="7F3DC7DB" w14:textId="77777777" w:rsidR="00652930" w:rsidRDefault="00652930" w:rsidP="00A51969">
      <w:pPr>
        <w:spacing w:after="0" w:line="240" w:lineRule="auto"/>
        <w:jc w:val="both"/>
        <w:rPr>
          <w:rFonts w:ascii="Arial" w:hAnsi="Arial" w:cs="Arial"/>
          <w:sz w:val="20"/>
          <w:szCs w:val="20"/>
        </w:rPr>
      </w:pPr>
    </w:p>
    <w:p w14:paraId="18BF70DF" w14:textId="77652B5F"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Juan Halim, Dennis Gunadi and Darusalam Darusalam. Enhancing Accounting Students' Career Readiness through Big Data Literacy: Evidence from Data- Driven Culture, Technological Infrastructure, Human Analytical Skills, and Data Governance</w:t>
      </w:r>
    </w:p>
    <w:p w14:paraId="0359C99F" w14:textId="71ECED56"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Digital technology and AI have revolutionized the skills needed in the job market, which is leading to a mismatch between the skills graduates possess and the skills that employers are looking for. This study aims to analyze the influence of the dimensions of Big Data Literacy on accounting students career readiness in Indonesia, which are Data-Driven Culture, Technological Infrastructure, Human Analytical Skills, and Data Governance. Following the Hu-man Capital Theory, this study suggests that the four dimensions </w:t>
      </w:r>
      <w:proofErr w:type="gramStart"/>
      <w:r w:rsidR="00C072F1" w:rsidRPr="00C072F1">
        <w:rPr>
          <w:rFonts w:ascii="Arial" w:hAnsi="Arial" w:cs="Arial"/>
          <w:sz w:val="20"/>
          <w:szCs w:val="20"/>
        </w:rPr>
        <w:t>are considered to be</w:t>
      </w:r>
      <w:proofErr w:type="gramEnd"/>
      <w:r w:rsidR="00C072F1" w:rsidRPr="00C072F1">
        <w:rPr>
          <w:rFonts w:ascii="Arial" w:hAnsi="Arial" w:cs="Arial"/>
          <w:sz w:val="20"/>
          <w:szCs w:val="20"/>
        </w:rPr>
        <w:t xml:space="preserve"> skill sets that can be trained and which help to prepare graduates for a working place based on artificial intelligence. The survey method used was quantitative, which used 110 students of accounting who were selected with purposive sampling from various universities in Indonesia. The data were gathered using an online questionnaire and analyzed with the Partial Least Squares Structural Equation Modeling (PLS-SEM) using the software SmartPLS 4 and SPSS for the descriptive test. The results indicate that there is a significant positive correlation between Career Readiness and Data-Driven Culture, Human Analytical Skills, and Data Governance, with the strongest relationship being between Career Readiness and Human Analytical Skills. However, Technological Infrastructure does not have a significant direct effect, indicating that access to technology alone is not enough without the ability to use it effectively. The results have practical implications for </w:t>
      </w:r>
      <w:r w:rsidR="00C072F1" w:rsidRPr="00C072F1">
        <w:rPr>
          <w:rFonts w:ascii="Arial" w:hAnsi="Arial" w:cs="Arial"/>
          <w:sz w:val="20"/>
          <w:szCs w:val="20"/>
        </w:rPr>
        <w:lastRenderedPageBreak/>
        <w:t>teachers and policymakers to enhance data literacy, analytical and data governance skills in accountancy programs to equip graduates for the demands of the digital era.</w:t>
      </w:r>
    </w:p>
    <w:p w14:paraId="45C37B7C" w14:textId="77777777" w:rsidR="00652930" w:rsidRDefault="00652930" w:rsidP="00A51969">
      <w:pPr>
        <w:spacing w:after="0" w:line="240" w:lineRule="auto"/>
        <w:jc w:val="both"/>
        <w:rPr>
          <w:rFonts w:ascii="Arial" w:hAnsi="Arial" w:cs="Arial"/>
          <w:sz w:val="20"/>
          <w:szCs w:val="20"/>
        </w:rPr>
      </w:pPr>
    </w:p>
    <w:p w14:paraId="26988B7D" w14:textId="4DB221B2"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Lale Özyılmaz and Yusuf Coşkun. An Explainable Fuzzy Decision-Support Framework for FDM Process Parameter Selection Using Sensitivity Analysis and Genetic Inverse Design</w:t>
      </w:r>
    </w:p>
    <w:p w14:paraId="452C1320" w14:textId="7CF9EA5D"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The surface and mechanical quality of parts produced by fused deposition modeling (FDM) depends on several process parameters, including layer height, infill density, wall thickness, nozzle temperature, and material type. Selecting these parameters through trial and error is costly in terms of time, material, and labor. This study proposes an explainable fuzzy decision-support framework for FDM process parameter selection. An open-access dataset containing 50 samples was used to model three quality outputs: sur-face roughness, tensile strength, and elongation. Linear regression, artificial neural network (ANN), fuzzy inference system (FIS), and adaptive neuro-fuzzy inference system (ANFIS) models were compared using repeated 5-fold cross-validation. The results showed that no single model was consist-ently superior for all outputs and that increasing model complexity did not always improve predictive stability under limited-data conditions. Therefore, fuzzy surrogate models were selected by considering prediction perfor-mance, stability, simplicity, and interpretability together. One-at-a-time sensi-tivity analysis identified layer height as the dominant parameter for rough-ness, infill density for tensile strength, and nozzle temperature for elonga-tion. Finally, genetic algorithm-based inverse design was used to generate feasible parameter recommendations for three different quality targets within the observed process window. The results indicate that the proposed </w:t>
      </w:r>
      <w:proofErr w:type="gramStart"/>
      <w:r w:rsidR="00C072F1" w:rsidRPr="00C072F1">
        <w:rPr>
          <w:rFonts w:ascii="Arial" w:hAnsi="Arial" w:cs="Arial"/>
          <w:sz w:val="20"/>
          <w:szCs w:val="20"/>
        </w:rPr>
        <w:t>frame-work</w:t>
      </w:r>
      <w:proofErr w:type="gramEnd"/>
      <w:r w:rsidR="00C072F1" w:rsidRPr="00C072F1">
        <w:rPr>
          <w:rFonts w:ascii="Arial" w:hAnsi="Arial" w:cs="Arial"/>
          <w:sz w:val="20"/>
          <w:szCs w:val="20"/>
        </w:rPr>
        <w:t xml:space="preserve"> provides an explainable and target-dependent decision-support ap-proach for FDM parameter selection under small-data conditions.</w:t>
      </w:r>
    </w:p>
    <w:p w14:paraId="1604B576" w14:textId="77777777" w:rsidR="00652930" w:rsidRDefault="00652930" w:rsidP="00A51969">
      <w:pPr>
        <w:spacing w:after="0" w:line="240" w:lineRule="auto"/>
        <w:jc w:val="both"/>
        <w:rPr>
          <w:rFonts w:ascii="Arial" w:hAnsi="Arial" w:cs="Arial"/>
          <w:sz w:val="20"/>
          <w:szCs w:val="20"/>
        </w:rPr>
      </w:pPr>
    </w:p>
    <w:p w14:paraId="46E68EDD" w14:textId="5AEB756D"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Hasnaa Jawhar, Loubna Hamami and Nassereddine Bouchaib. Beyond fragmented models: proposal for a systemic model of the digital transformation of higher education</w:t>
      </w:r>
    </w:p>
    <w:p w14:paraId="16037EC4" w14:textId="2AA9F182"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The digital transformation is a major strategic challenge for all sectors, including higher education, facing technological, organisational and pedagogical changes reinforced by the growing emergence of artificial intelligence. However, despite the abundance of work on university digitalisation, it remains marked by significant theoretical fragmentation. Existing models generally address the digital transformation through partial and poorly articulated dimensions. In this perspective, this study aims to critically analyse the main theoretical models </w:t>
      </w:r>
      <w:proofErr w:type="gramStart"/>
      <w:r w:rsidR="00C072F1" w:rsidRPr="00C072F1">
        <w:rPr>
          <w:rFonts w:ascii="Arial" w:hAnsi="Arial" w:cs="Arial"/>
          <w:sz w:val="20"/>
          <w:szCs w:val="20"/>
        </w:rPr>
        <w:t>in order to</w:t>
      </w:r>
      <w:proofErr w:type="gramEnd"/>
      <w:r w:rsidR="00C072F1" w:rsidRPr="00C072F1">
        <w:rPr>
          <w:rFonts w:ascii="Arial" w:hAnsi="Arial" w:cs="Arial"/>
          <w:sz w:val="20"/>
          <w:szCs w:val="20"/>
        </w:rPr>
        <w:t xml:space="preserve"> identify their contributions and limitations, as well as persistent conceptual gaps, through a qualitative approach based on a literature review and a comparative analysis of several theoretical frameworks from international works. The results show that existing approaches are mainly focused on specific dimensions, thus limiting the overall understanding of the phenomenon. On this basis, the study proposes an initial model articulated around the technological, educational, institutional and human dimensions, integrating artificial intelligence as a transversal facilitator of the digital transformation in a systemic and interdependent perspective. This research thus contributes to enriching theoretical reflections on digitalisation in higher education by proposing an integrative model articulating the main dimensions of digitalisation from a systemic and global perspective, likely to support future empirical research on the digital evolution of higher education institutions.</w:t>
      </w:r>
    </w:p>
    <w:p w14:paraId="5A0708DA" w14:textId="77777777" w:rsidR="00652930" w:rsidRDefault="00652930" w:rsidP="00A51969">
      <w:pPr>
        <w:spacing w:after="0" w:line="240" w:lineRule="auto"/>
        <w:jc w:val="both"/>
        <w:rPr>
          <w:rFonts w:ascii="Arial" w:hAnsi="Arial" w:cs="Arial"/>
          <w:sz w:val="20"/>
          <w:szCs w:val="20"/>
        </w:rPr>
      </w:pPr>
    </w:p>
    <w:p w14:paraId="1F22EDD0" w14:textId="65DC932D"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Ahmad Tajudin Baharin and Nurul Azlin Liyana Mohamad. Beyond Keyword Matching: An Empirical Investigation of Rubric Compliance Behaviour in AI-Powered Subjective Assessment</w:t>
      </w:r>
    </w:p>
    <w:p w14:paraId="1A09F86A" w14:textId="0454FF8E"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Large Language Models (LLMs) have transformed automated subjective as-sessment by shifting it from keyword-based scoring towards semantic and context-aware evaluation. However, existing studies have focused mainly on grading accuracy and agreement with human markers, offering limited in-sight into how AI-generated scores align with explicit marking rubrics. This study examines the behavioral characteristics of an AI-powered, rubric-based assessment system using 30 authentic undergraduate reports from a Cloud Computing course. The dataset comprised 360 assessment decisions across twelve subjective questions. Each decision was analysed in relation to the student response, expected answer, official rubric, matched and missing concepts, allocated score, and AI-generated explanation. Four recurring be-haviors were identified: Literal Rubric Compliance (11.4%), Semantic Rubric Compliance (13.6%), Partial Rubric Compliance (40.3%), and Inconsistent Rubric Compliance (34.7%). Overall, 88.6% of the decisions involved some form of non-literal interpretation, indicating that assessment outcomes were shaped by the interaction between semantic reasoning, contextual interpreta-tion, and rubric constraints rather than by lexical correspondence alone. Based on these findings, the study proposes the Rubric Compliance Behavior (RCB) framework as a behavioral lens for evaluating AI-assisted assessment. The framework complements conventional accuracy measures by enabling more transparent, explainable, and auditable analysis of automated marking decisions in higher education.</w:t>
      </w:r>
    </w:p>
    <w:p w14:paraId="635F9B7A" w14:textId="77777777" w:rsidR="00652930" w:rsidRDefault="00652930" w:rsidP="00A51969">
      <w:pPr>
        <w:spacing w:after="0" w:line="240" w:lineRule="auto"/>
        <w:jc w:val="both"/>
        <w:rPr>
          <w:rFonts w:ascii="Arial" w:hAnsi="Arial" w:cs="Arial"/>
          <w:sz w:val="20"/>
          <w:szCs w:val="20"/>
        </w:rPr>
      </w:pPr>
    </w:p>
    <w:p w14:paraId="0B8BC8A9" w14:textId="06DCE591"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Bayu Rahayudi, Muhammad Allam Zaahid and Dwija Wisnu Brata. Mobile Application for Coordinating Informal Collaboration in Collective Qur’an Recitation Completion Practices</w:t>
      </w:r>
    </w:p>
    <w:p w14:paraId="0C9DC02F" w14:textId="6977BFAE"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lastRenderedPageBreak/>
        <w:t>Abstract:</w:t>
      </w:r>
      <w:r w:rsidR="00C072F1" w:rsidRPr="00C072F1">
        <w:rPr>
          <w:rFonts w:ascii="Arial" w:hAnsi="Arial" w:cs="Arial"/>
          <w:sz w:val="20"/>
          <w:szCs w:val="20"/>
        </w:rPr>
        <w:t xml:space="preserve"> This paper examines how mobile application can support coordination in loosely structured collaborative activities. While prior research in Computer-Supported Cooperative Work (CSCW) has predominantly focused on formal organizational contexts, less attention has been given to community-based and religious collaborations, where coordination is informal, distributed, and often mediated by general-purpose communication tools. We present the de-sign and evaluation of a collaborative mobile application developed to sup-port collective recitation Qur’an completion (khataman), a religious practice involving distributed participants collaboratively completing the recitation of the Qur’an within a specified timeframe. Existing coordination practices rely heavily on messaging platforms, which lack structured mechanisms for task allocation, progress tracking, and synchronization, resulting in inefficiencies such as duplicated work, delayed updates, and limited group awareness. This study adopts a Design Science Research (DSR) approach to iteratively de-sign, develop, and evaluate a mobile-cloud system that operationalizes key CSCW principles, communication, coordination, and collaboration, within a unified platform. Empirical evaluation was conducted through functional testing, usability assessment using the System Usability Scale (SUS), and per-formance testing via load simulation. The results indicate that the system achieves a SUS score of 77.78, reflecting good usability, and supports up to 500 concurrent users with stable performance, an average response time of 1,231 milliseconds, and a low error rate of 0.27%. This study contributes to CSCW in three ways: (1) extending coordination theory into informal reli-gious collaboration contexts, (2) demonstrating how real-time mobile-cloud architectures can support large-scale coordination in loosely structured groups, and (3) providing empirical evidence from a real-world deployment.</w:t>
      </w:r>
    </w:p>
    <w:p w14:paraId="4EA76510" w14:textId="77777777" w:rsidR="00652930" w:rsidRDefault="00652930" w:rsidP="00A51969">
      <w:pPr>
        <w:spacing w:after="0" w:line="240" w:lineRule="auto"/>
        <w:jc w:val="both"/>
        <w:rPr>
          <w:rFonts w:ascii="Arial" w:hAnsi="Arial" w:cs="Arial"/>
          <w:sz w:val="20"/>
          <w:szCs w:val="20"/>
        </w:rPr>
      </w:pPr>
    </w:p>
    <w:p w14:paraId="1AE274D0" w14:textId="49CCBE25"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Christiano Setiadi, Kian Santang Kusumah, Kevin Sumbadji and Lindrianasari Lindrianasari. Does Lower Carbon Emission Intensity Reflect Better ESG Performance? Evidence from Manufacturing Firms in Emerging ASEAN Economies</w:t>
      </w:r>
    </w:p>
    <w:p w14:paraId="7CA809B4" w14:textId="7C177E76"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Carbon Emission Intensity (CEI) and Environmental, Social and Governance (ESG) ratings are widely used measures to assess a business's sustainability performance. However, a major empirical question is whether ESG ratings genuinely reflect enterprises’ carbon efficiency, particularly in the expanding ASEAN economies where sustainability reporting requirements and environ-mental legislation are still developing. The aim of this study is to evaluate the association between lower carbon emission intensity and improved ESG per-formance of publicly listed manufacturing companies in selected ASEAN countries. Data were obtained from the LSEG Data &amp; Analytics platform using a balanced panel dataset of publicly listed manufacturing firms in Indonesia, Malaysia, Thailand, the Philippines, and Vietnam over the 2020–2024 period. Fixed and random effects panel regression models were </w:t>
      </w:r>
      <w:proofErr w:type="gramStart"/>
      <w:r w:rsidR="00C072F1" w:rsidRPr="00C072F1">
        <w:rPr>
          <w:rFonts w:ascii="Arial" w:hAnsi="Arial" w:cs="Arial"/>
          <w:sz w:val="20"/>
          <w:szCs w:val="20"/>
        </w:rPr>
        <w:t>applied</w:t>
      </w:r>
      <w:proofErr w:type="gramEnd"/>
      <w:r w:rsidR="00C072F1" w:rsidRPr="00C072F1">
        <w:rPr>
          <w:rFonts w:ascii="Arial" w:hAnsi="Arial" w:cs="Arial"/>
          <w:sz w:val="20"/>
          <w:szCs w:val="20"/>
        </w:rPr>
        <w:t xml:space="preserve"> and the Haus-man test was performed to choose the most appropriate specification. Robust standard errors were employed to enhance statistical inference. The results re-veal that there is no </w:t>
      </w:r>
      <w:proofErr w:type="gramStart"/>
      <w:r w:rsidR="00C072F1" w:rsidRPr="00C072F1">
        <w:rPr>
          <w:rFonts w:ascii="Arial" w:hAnsi="Arial" w:cs="Arial"/>
          <w:sz w:val="20"/>
          <w:szCs w:val="20"/>
        </w:rPr>
        <w:t>statistical</w:t>
      </w:r>
      <w:proofErr w:type="gramEnd"/>
      <w:r w:rsidR="00C072F1" w:rsidRPr="00C072F1">
        <w:rPr>
          <w:rFonts w:ascii="Arial" w:hAnsi="Arial" w:cs="Arial"/>
          <w:sz w:val="20"/>
          <w:szCs w:val="20"/>
        </w:rPr>
        <w:t xml:space="preserve"> significant impact of Carbon Emission Intensity on ESG scores, which implies that the firms with lower carbon emission inten-sity are not necessarily better on ESG scores. Moreover, firm size and leverage are found to be significantly positively related to ESG performance. The find-ings imply a possible ESG Emissions Paradox, where positive ESG ratings may not necessarily reflect the actual carbon efficiency and decarbonization performance of industrial businesses in emerging ASEAN countries.</w:t>
      </w:r>
    </w:p>
    <w:p w14:paraId="6A8D4CEB" w14:textId="77777777" w:rsidR="00652930" w:rsidRDefault="00652930" w:rsidP="00A51969">
      <w:pPr>
        <w:spacing w:after="0" w:line="240" w:lineRule="auto"/>
        <w:jc w:val="both"/>
        <w:rPr>
          <w:rFonts w:ascii="Arial" w:hAnsi="Arial" w:cs="Arial"/>
          <w:sz w:val="20"/>
          <w:szCs w:val="20"/>
        </w:rPr>
      </w:pPr>
    </w:p>
    <w:p w14:paraId="55893CCB" w14:textId="7A92BDEE"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Vyacheslav Zhukov. Diagnosing Structural and Within-Segment Anomalies in Derived Metrics of Digital Storefronts</w:t>
      </w:r>
    </w:p>
    <w:p w14:paraId="0CEE2213" w14:textId="4CC39868"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Derived metrics in digital storefronts, such as conversion rate (the ratio of purchasing users to all users), aggregate heterogeneous user populations and may deviate either because of changes in traffic composition or because of changes in user behavior within individual segments. These mechanisms require different managerial responses, yet existing root cause analysis methods typically proceed directly to localization without distinguishing between them.</w:t>
      </w:r>
    </w:p>
    <w:p w14:paraId="269DDCB7" w14:textId="77777777"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This paper formulates anomaly-type diagnosis as a separate analytical stage preceding root cause localization. We show that the explanatory pow-er of structural shifts is constrained by the magnitude of traffic redistribu-tion, the dispersion of segment-level metric values, and the feasible amount of traffic that individual cells can contribute. Consequently, sufficiently large anomalies cannot be explained by changes in composition alone when segment rates are similar or when extreme-rate cells cannot absorb the re-quired traffic transfer.</w:t>
      </w:r>
    </w:p>
    <w:p w14:paraId="11291999" w14:textId="77777777"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Building on this result, we propose an online diagnostic procedure that combines Kitagawa–Oaxaca–Blinder decomposition, statistical testing of the structural component, and counterfactual validation. The method oper-ates without labeled data and relies exclusively on information available at the time an anomaly occurs.</w:t>
      </w:r>
    </w:p>
    <w:p w14:paraId="70C7B023" w14:textId="77777777"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The approach is evaluated on a real clickstream dataset from an e-commerce digital storefront (518 days, 96 detected anomalies) and on semi-synthetic injections with known ground truth. Among 86 diagnosable anomalies, eight are classified as structural shifts, with discriminative counterfactual analysis providing additional evidence for this interpreta-tion, while the remaining events are attributed to within-segment changes. The findings suggest that structural anomalies constitute a distinct class of events requiring a dedicated diagnostic treatment.</w:t>
      </w:r>
    </w:p>
    <w:p w14:paraId="5E40E4B4" w14:textId="77777777" w:rsidR="00652930" w:rsidRDefault="00652930" w:rsidP="00A51969">
      <w:pPr>
        <w:spacing w:after="0" w:line="240" w:lineRule="auto"/>
        <w:jc w:val="both"/>
        <w:rPr>
          <w:rFonts w:ascii="Arial" w:hAnsi="Arial" w:cs="Arial"/>
          <w:sz w:val="20"/>
          <w:szCs w:val="20"/>
        </w:rPr>
      </w:pPr>
    </w:p>
    <w:p w14:paraId="37BD1957" w14:textId="08EBEF1D"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Dini Verdania Latif, Gde Wiraditya, Nadia Andini Kamil and Anton Abdulbasah Kamil. Integrating ESG Metrics into Financial Performance Prediction Models for Islamic Banks Using Random Forest</w:t>
      </w:r>
    </w:p>
    <w:p w14:paraId="6C81E45C" w14:textId="43C59907"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The growing emphasis on Environmental, Social, and Governance (ESG) practices has transformed the evaluation of banking performance, particular-ly in Islamic banking where sustainability principles align closely with Sharia values. However, existing studies predominantly rely on conventional statis-tical methods that may not adequately capture the complex and nonlinear re-lationships between ESG factors and financial performance. This study de-velops a financial performance prediction model for Islamic banks by inte-grating ESG metrics, bank-specific financial indicators, Sharia governance characteristics, and historical profitability using the Random Forest machine learning algorithm. The study employs secondary data from 13 Islamic banks covering the period 2021–2025. Return on Assets (ROA) is used as the target variable, while ESG Risk Score, Sustainable Financing Ratio, Sharia Supervi-sory Board (SSB) Size, Capital Adequacy Ratio (CAR), Non-Performing Fi-nancing (NPF), Financing-to-Deposit Ratio (FDR), and lagged ROA serve as predictor variables. Model performance is evaluated using Mean Squared Er-ror (MSE) and the coefficient of determination (R²), while feature im-portance analysis identifies the relative contribution of each predictor. The Random Forest model achieved an MSE of 1.2253 and an R² of 0.4023, in-dicating satisfactory predictive performance. Feature importance analysis re-vealed that the Sustainable Financing Ratio is the strongest predictor of fi-nancial performance (56.99%), followed by historical ROA (19.11%), NPF (9.09%), and ESG Risk Score (6.85%). The findings suggest that sustainabil-ity-oriented financing activities provide greater predictive value than aggre-gate ESG risk measures.</w:t>
      </w:r>
    </w:p>
    <w:p w14:paraId="35D008BC" w14:textId="77777777" w:rsidR="00652930" w:rsidRDefault="00652930" w:rsidP="00A51969">
      <w:pPr>
        <w:spacing w:after="0" w:line="240" w:lineRule="auto"/>
        <w:jc w:val="both"/>
        <w:rPr>
          <w:rFonts w:ascii="Arial" w:hAnsi="Arial" w:cs="Arial"/>
          <w:sz w:val="20"/>
          <w:szCs w:val="20"/>
        </w:rPr>
      </w:pPr>
    </w:p>
    <w:p w14:paraId="4E22A1BF" w14:textId="5489640C"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Syafri Wira Wicaksana, Kurniawan Indra Jaya, Rizky Bagus Paramadani, Muhammad Wikan Putrantiko, Lukman Hakim and Novanto Yudistira. Tiny U-Net with Rotational Transform and Attention Gate for Retinal Vessel Segmentation</w:t>
      </w:r>
    </w:p>
    <w:p w14:paraId="21A3EDB0" w14:textId="3BC86E68"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Image segmentation has become an important topic in computer vision, especially in medical images. Good segmentation can separate different objects and help us focus on desired objects like a retina vessel. Performing a precise drawing of the retina vessel in the fundus image could lead the expert to gain valuable insight to analyze the major eye disease. In this paper, we proposed the modified Unet architecture using rotational transformation and the attention gate. The experiments were carried out on multiple datasets and compared to the existing study. On CHASEDB1 dataset, we accomplished 96.21\% for the highest accuracy. While on Drive dataset we reach the highest accuracy on 95.53\%. in Monuseg dataset, our proposed method </w:t>
      </w:r>
      <w:proofErr w:type="gramStart"/>
      <w:r w:rsidR="00C072F1" w:rsidRPr="00C072F1">
        <w:rPr>
          <w:rFonts w:ascii="Arial" w:hAnsi="Arial" w:cs="Arial"/>
          <w:sz w:val="20"/>
          <w:szCs w:val="20"/>
        </w:rPr>
        <w:t>reach</w:t>
      </w:r>
      <w:proofErr w:type="gramEnd"/>
      <w:r w:rsidR="00C072F1" w:rsidRPr="00C072F1">
        <w:rPr>
          <w:rFonts w:ascii="Arial" w:hAnsi="Arial" w:cs="Arial"/>
          <w:sz w:val="20"/>
          <w:szCs w:val="20"/>
        </w:rPr>
        <w:t xml:space="preserve"> the highest score on AUC 96.62\%. From the experiment, our proposed method can achieve higher accuracy from existing method with right kernel rotation placement position. We hope our proposed method could improve the accuracy of image segmentation in the future.</w:t>
      </w:r>
    </w:p>
    <w:p w14:paraId="4DB93093" w14:textId="77777777" w:rsidR="00652930" w:rsidRDefault="00652930" w:rsidP="00A51969">
      <w:pPr>
        <w:spacing w:after="0" w:line="240" w:lineRule="auto"/>
        <w:jc w:val="both"/>
        <w:rPr>
          <w:rFonts w:ascii="Arial" w:hAnsi="Arial" w:cs="Arial"/>
          <w:sz w:val="20"/>
          <w:szCs w:val="20"/>
        </w:rPr>
      </w:pPr>
    </w:p>
    <w:p w14:paraId="28E22F7D" w14:textId="68061DFC"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Muhammad Aldo Dewantara, Abdul Mukti Soma and Dali Sadli Mulia. A Revenue Stability Framework for Sustainable E-Commerce Marketplaces: Empirical Evidence from Fashion Sellers on Shopee Indonesia</w:t>
      </w:r>
    </w:p>
    <w:p w14:paraId="08448AE2" w14:textId="28A13545"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Revenue volatility undermines seller resilience and the long-term sustainability of digital marketplaces, yet operational diagnostics that translate transaction data into actionable stability indicators remain underdeveloped. This paper proposes a Revenue Stability Framework grounded in a bounded operational metric, the Revenue Stability Index (RSI), and tests four marketplace-observable antecedents: price level (PL), price dispersion (PD), market share proxy (MSP), and quantity sold (QS). Using daily transaction data from 358 fashion sellers on Shopee Indonesia across a 90-day window (October–December 2025), we estimate ordinary least squares regression with heteroskedasticity-robust (HC3) standard errors, complemented by beta regression and a fractional response model for boundedness-aware robustness, and five additional sensitivity specifications including a non-promotion-period subsample. Empirically, PL, PD, and QS exhibit no significant association with RSI, while MSP shows a robust negative association (β = −3.024; p &lt; 0.001) that persists across all eight specifications. The negative MSP–RSI link is interpreted as associative rather than causal, with promotion dependence and competitive pressure proposed as candidate mechanisms. The framework contributes a deployable diagnostic instrument for marketplace analytics, decision-support systems, and seller-level risk monitoring in emerging-economy e-commerce, while transparently acknowledging coupling and design limitations that motivate longitudinal extensions.</w:t>
      </w:r>
    </w:p>
    <w:p w14:paraId="650ABD1E" w14:textId="77777777" w:rsidR="00652930" w:rsidRDefault="00652930" w:rsidP="00A51969">
      <w:pPr>
        <w:spacing w:after="0" w:line="240" w:lineRule="auto"/>
        <w:jc w:val="both"/>
        <w:rPr>
          <w:rFonts w:ascii="Arial" w:hAnsi="Arial" w:cs="Arial"/>
          <w:sz w:val="20"/>
          <w:szCs w:val="20"/>
        </w:rPr>
      </w:pPr>
    </w:p>
    <w:p w14:paraId="4890A39E" w14:textId="053533A4"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Caroline Arifin and Tanty Oktavia. AR Virtual Try-On as a Driver of Purchase Intention of Makeup Brands in E-Commerce through Perceived Value and Brand Preference</w:t>
      </w:r>
    </w:p>
    <w:p w14:paraId="6FE1C1FB" w14:textId="598F4187"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The growing use of augmented reality (AR) in e-commerce highlights the importance of delivering high-quality AR-based Virtual Try-On (VTO) experiences, particularly in the beauty and cosmetics industry. A good AR Virtual Try-On feature helps customers make better judgements about what to buy by letting them see beauty goods in a more realistic way before making purchasing decisions. Interactivity, system quality, product informativeness, and reality congruence are some of the most important AR features that affect how consumers </w:t>
      </w:r>
      <w:r w:rsidR="00C072F1" w:rsidRPr="00C072F1">
        <w:rPr>
          <w:rFonts w:ascii="Arial" w:hAnsi="Arial" w:cs="Arial"/>
          <w:sz w:val="20"/>
          <w:szCs w:val="20"/>
        </w:rPr>
        <w:lastRenderedPageBreak/>
        <w:t>see and feel about the experience. When AR features provide customers an accurate visual depiction, useful product information, and a smooth experience, users are more likely to perceive higher value, develop stronger preferences toward brands, and show greater intention to purchase. This study emphasizes that realistic visualization and informative AR content are especially important in building consumer confidence and reducing uncertainty in online beauty shopping. The findings offer valuable insights for e-commerce platforms and beauty brands to optimize AR Virtual Try-On features to enhance perceived value, strengthen brand preference, and encourage purchase intention through improved digital shopping experiences.</w:t>
      </w:r>
    </w:p>
    <w:p w14:paraId="6C43EF03" w14:textId="77777777" w:rsidR="00652930" w:rsidRDefault="00652930" w:rsidP="00A51969">
      <w:pPr>
        <w:spacing w:after="0" w:line="240" w:lineRule="auto"/>
        <w:jc w:val="both"/>
        <w:rPr>
          <w:rFonts w:ascii="Arial" w:hAnsi="Arial" w:cs="Arial"/>
          <w:sz w:val="20"/>
          <w:szCs w:val="20"/>
        </w:rPr>
      </w:pPr>
    </w:p>
    <w:p w14:paraId="42DBB55E" w14:textId="3F9C5A60"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Rahmat Siauwijaya. Can Digital Infrastructure Reduce Zombie Firms? Evidence from Four Asian Economies</w:t>
      </w:r>
    </w:p>
    <w:p w14:paraId="01C9A24E" w14:textId="7745275C"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This study examines the effect of digital infrastructure on the prevalence of zombie firms in four Asian economies. The firm-level panel data is used during 2014–2024. Zombie firms are identified </w:t>
      </w:r>
      <w:proofErr w:type="gramStart"/>
      <w:r w:rsidR="00C072F1" w:rsidRPr="00C072F1">
        <w:rPr>
          <w:rFonts w:ascii="Arial" w:hAnsi="Arial" w:cs="Arial"/>
          <w:sz w:val="20"/>
          <w:szCs w:val="20"/>
        </w:rPr>
        <w:t>on the basis of</w:t>
      </w:r>
      <w:proofErr w:type="gramEnd"/>
      <w:r w:rsidR="00C072F1" w:rsidRPr="00C072F1">
        <w:rPr>
          <w:rFonts w:ascii="Arial" w:hAnsi="Arial" w:cs="Arial"/>
          <w:sz w:val="20"/>
          <w:szCs w:val="20"/>
        </w:rPr>
        <w:t xml:space="preserve"> the financial distress </w:t>
      </w:r>
      <w:proofErr w:type="gramStart"/>
      <w:r w:rsidR="00C072F1" w:rsidRPr="00C072F1">
        <w:rPr>
          <w:rFonts w:ascii="Arial" w:hAnsi="Arial" w:cs="Arial"/>
          <w:sz w:val="20"/>
          <w:szCs w:val="20"/>
        </w:rPr>
        <w:t>conditions</w:t>
      </w:r>
      <w:proofErr w:type="gramEnd"/>
      <w:r w:rsidR="00C072F1" w:rsidRPr="00C072F1">
        <w:rPr>
          <w:rFonts w:ascii="Arial" w:hAnsi="Arial" w:cs="Arial"/>
          <w:sz w:val="20"/>
          <w:szCs w:val="20"/>
        </w:rPr>
        <w:t xml:space="preserve"> and the digital infrastructure is measured both by individual indicators (Internet, Broadband, Mobile, Server, and High-Tech) and a composite index. The results of logit regression and average marginal effects suggest that digital infrastructure has a negative statistically significant effect on the probability of firms becoming zombies across all models, confirming the baseline hypothesis that better digital infrastructure alleviates corporate financial distress. However, robustness checks using a PCA-based composite index suggest that the relationship is sensitive to the construction of variables and becomes less consistent when country fixed effects are included, indicating that the effects depend on the measurement. Further analysis shows that the negative effect of digital infrastructure is not significantly stronger for small firms, as the moderating effect of firm size is weak and mostly insignificant. On the other hand, economic development significantly moderates the relationship, with the effect of digital infrastructure being more pronounced in less developed economies, although varying across income levels. Overall, the results underline the importance but context-dependent role of digital infrastructure in reducing zombie firms, with implications for measurement strategy and policy targeting in emerging Asian economies.</w:t>
      </w:r>
    </w:p>
    <w:p w14:paraId="4838A19A" w14:textId="77777777" w:rsidR="00652930" w:rsidRDefault="00652930" w:rsidP="00A51969">
      <w:pPr>
        <w:spacing w:after="0" w:line="240" w:lineRule="auto"/>
        <w:jc w:val="both"/>
        <w:rPr>
          <w:rFonts w:ascii="Arial" w:hAnsi="Arial" w:cs="Arial"/>
          <w:sz w:val="20"/>
          <w:szCs w:val="20"/>
        </w:rPr>
      </w:pPr>
    </w:p>
    <w:p w14:paraId="2F6444EE" w14:textId="35B6FDF0"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Azhara Rahma Effendi, Fitriyana Dewi and Ryan Adhitya Nugraha. Design and Development of a Strategic Governance Assessment Tool for an Integrated IT Governance</w:t>
      </w:r>
    </w:p>
    <w:p w14:paraId="34B539F4" w14:textId="37A1A8C2"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Digital transformation has increased the need for information technology governance mechanisms that align strategic direction, value creation, risk control, and service execution within a coherent organizational framework. Although COBIT 2019 provides strong guidance for enterprise-level governance and ITILv4 offers detailed support for service management, their separate application often leaves a gap between strategic governance objectives and operational implementation. To address this issue, prior research introduced CITIGOV as an integrated model combining governance and service perspectives, but the model still lacks a structured instrument for assessing the capability of its Strategic Governance domain. This study develops a Strategic Governance assessment tool for CITIGOV, focusing on the Value Planning and Risk Compliance process areas. Using a Design Science Research approach, the study translates conceptual constructs into an operational artifact consisting of questionnaire items, an evidence-based scoring guide, and a maturity interpretation scheme. Initial validation is conducted through expert review. The study contributes a repeatable assessment tool that operationalizes the Strategic Governance domain of CITIGOV into measurable organizational practices for integrated IT governance assessment.</w:t>
      </w:r>
    </w:p>
    <w:p w14:paraId="6C69E65A" w14:textId="77777777" w:rsidR="00652930" w:rsidRDefault="00652930" w:rsidP="00A51969">
      <w:pPr>
        <w:spacing w:after="0" w:line="240" w:lineRule="auto"/>
        <w:jc w:val="both"/>
        <w:rPr>
          <w:rFonts w:ascii="Arial" w:hAnsi="Arial" w:cs="Arial"/>
          <w:sz w:val="20"/>
          <w:szCs w:val="20"/>
        </w:rPr>
      </w:pPr>
    </w:p>
    <w:p w14:paraId="277D07CE" w14:textId="3362B296"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Hema Raju Barri and Chandana Charitha Peddinti. Privacy-Sensitive Generative AI Sourcing in Federal Information Systems</w:t>
      </w:r>
    </w:p>
    <w:p w14:paraId="02A12C3A" w14:textId="0FB58B98"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Generative artificial intelligence (GenAI) is becoming part of public-sector information systems, but less is known about the governance boundary through which privacy-sensitive systems are acquired. Conventional safeguarding logic predicts that personally identifiable information (PII) should push organizations toward internal or hybrid development, because contracting over sensitive data increases monitoring and misuse risks. A competing information-systems capability view predicts greater vendor reliance when organizations need authorized infrastructure, security controls, implementation expertise, and lifecycle support. This paper tests these competing expectations using the U.S. Office of Management and Budget's 2025 Federal Agency AI Use Case Inventory. The analytic sample contains 368 publicly reportable pilot or deployed federal GenAI use cases across 26 agencies with observed PII and sourcing fields. Vendor-only sourcing appears in 71.3% of PII-involving cases and 38.2% of non-PII cases. In a linear probability model with agency, topic, development-stage, and high-impact controls, PII is associated with a 22.0-percentage-point increase in vendor-only sourcing. The direction is stable across every leave-one-identifying-agency-out estimate, although small-cluster inference remains uncertain: CR2/Satterthwaite inference gives p=.080, while a restricted wild-cluster bootstrap gives p=.044. Validation of 160 records shows that deployment architecture is unobservable in 95% of reviewed cases. The study therefore does not infer model openness, hosting, or data flow from sourcing mode. It contributes use-case-level evidence to AI governance, privacy, public procurement, and digital-government information-systems research.</w:t>
      </w:r>
    </w:p>
    <w:p w14:paraId="5792BCD2" w14:textId="77777777" w:rsidR="00652930" w:rsidRDefault="00652930" w:rsidP="00A51969">
      <w:pPr>
        <w:spacing w:after="0" w:line="240" w:lineRule="auto"/>
        <w:jc w:val="both"/>
        <w:rPr>
          <w:rFonts w:ascii="Arial" w:hAnsi="Arial" w:cs="Arial"/>
          <w:sz w:val="20"/>
          <w:szCs w:val="20"/>
        </w:rPr>
      </w:pPr>
    </w:p>
    <w:p w14:paraId="7C2A5DFF" w14:textId="59456DD0"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Denny Gunawan, Clairine Davina Keyne Setepen, Katya Aishara Riady, Naura Amelia Zahra and Mahda Karina. Artificial Intelligence-Driven Tax Compliance Architecture for Addressing Corporate Tax Avoidance</w:t>
      </w:r>
    </w:p>
    <w:p w14:paraId="0064F0EF" w14:textId="4F527C30"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Aggressive corporate tax planning has intensified alongside rapid globalization and digitalization, rendering traditional, rule-based auditing frameworks increasingly ineffective against complex corporate profit-shifting and transfer pricing practices. While academic interest in artificial intelligence (AI) continues to grow, existing studies remain fragmented and rarely present AI as an integrated tax compliance architecture for addressing structural fiscal challenges. This study develops an integrated conceptual framework for AI-driven tax compliance by synthesizing evidence from Scopus-indexed peer-reviewed studies. The proposed framework integrates multi-level institutional pressures, core AI mechanisms, including ensemble learning and social network analysis, moderating factors, and enforcement outcomes into a unified governance model. The synthesis indicates that AI-enabled compliance systems can improve audit precision, reduce corporate information asymmetry, and strengthen tax enforcement. However, successful implementation depends on institutional readiness, data infrastructure quality, and explainable AI mechanisms that preserve transparency, accountability, and administrative legitimacy. The proposed framework provides practical guidance for tax authorities seeking to modernize tax administration and enhance compliance capacity while offering a foundation for future empirical studies on AI-enabled tax governance and corporate tax avoidance.</w:t>
      </w:r>
    </w:p>
    <w:p w14:paraId="6A1C430E" w14:textId="77777777" w:rsidR="00652930" w:rsidRDefault="00652930" w:rsidP="00A51969">
      <w:pPr>
        <w:spacing w:after="0" w:line="240" w:lineRule="auto"/>
        <w:jc w:val="both"/>
        <w:rPr>
          <w:rFonts w:ascii="Arial" w:hAnsi="Arial" w:cs="Arial"/>
          <w:sz w:val="20"/>
          <w:szCs w:val="20"/>
        </w:rPr>
      </w:pPr>
    </w:p>
    <w:p w14:paraId="3B7BBD71" w14:textId="0A40918B"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Vinsensius Ricky Widjanarko and Kevin Deniswara. Understanding Financial Statement Fraud in ASEAN Banks through the Fraud Diamond Theory</w:t>
      </w:r>
    </w:p>
    <w:p w14:paraId="151F6FDF" w14:textId="1AEF4060"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This study investigates the determinants of financial statement fraud in ASEAN banking institutions during the 2015-2024 period using the Fraud Diamond Theory. Financial statement fraud is proxied by Discretionary Loan Loss Provision (DLLP), which captures managerial discretion in estimating loan loss provisions and is widely used to identify potential earnings manipulation in the banking sector. The sample consists of 117 listed banks across ASEAN countries selected through purposive sampling based on data availability and continuity of financial reporting. Secondary data were collected from annual reports and audited financial statements. The study examines the influence of pressure, opportunity, rationalization, and capability through proxies including financial stability, external pressure, nature of industry, ineffective monitoring, change in auditor, change in director, CEO experiences, and CEO Picture. Multiple regression analysis reveals that financial stability, external pressure, ineffective monitoring, change in auditor, and change in director significantly affect DLLP. In contrast, nature of industry and CEO Picture do not show a significant relationship with fraudulent financial reporting, while CEO experiences were excluded from the analysis due to insufficient variation in the data. The findings support the Fraud Diamond Theory by demonstrating that financial pressure, governance weaknesses, and organizational changes are important drivers of fraudulent financial reporting. This study contributes to the growing literature on fraud detection in the banking sector and provides practical insights for regulators, auditors, and financial institutions in strengthening governance mechanisms and reducing fraud risk.</w:t>
      </w:r>
    </w:p>
    <w:p w14:paraId="5B0FDA8F" w14:textId="77777777" w:rsidR="00652930" w:rsidRDefault="00652930" w:rsidP="00A51969">
      <w:pPr>
        <w:spacing w:after="0" w:line="240" w:lineRule="auto"/>
        <w:jc w:val="both"/>
        <w:rPr>
          <w:rFonts w:ascii="Arial" w:hAnsi="Arial" w:cs="Arial"/>
          <w:sz w:val="20"/>
          <w:szCs w:val="20"/>
        </w:rPr>
      </w:pPr>
    </w:p>
    <w:p w14:paraId="72137B60" w14:textId="280175C5"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Anthony Ndowo, Ilham Huseyinov and Mhd Wasim Raed. A Predictive Pipeline Maintenance Model to Improve Water Utility Efficiency</w:t>
      </w:r>
    </w:p>
    <w:p w14:paraId="70710902" w14:textId="02769F0D"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Water distribution networks are the backbone of urban infrastructure, but aging pipes keep the water utilities under pressure with frequent service interruptions, and rising costs of maintenance. Although machine learning has been used in pipe failure </w:t>
      </w:r>
      <w:proofErr w:type="gramStart"/>
      <w:r w:rsidR="00C072F1" w:rsidRPr="00C072F1">
        <w:rPr>
          <w:rFonts w:ascii="Arial" w:hAnsi="Arial" w:cs="Arial"/>
          <w:sz w:val="20"/>
          <w:szCs w:val="20"/>
        </w:rPr>
        <w:t>prediction</w:t>
      </w:r>
      <w:proofErr w:type="gramEnd"/>
      <w:r w:rsidR="00C072F1" w:rsidRPr="00C072F1">
        <w:rPr>
          <w:rFonts w:ascii="Arial" w:hAnsi="Arial" w:cs="Arial"/>
          <w:sz w:val="20"/>
          <w:szCs w:val="20"/>
        </w:rPr>
        <w:t xml:space="preserve"> but they focused on accuracy metric and pay no attention to missed failures, data leakage prevention, threshold optimization, and model interpretability. This study proposes the Recall Oriented Explainable Predictive Maintenance Framework (REPMF) that incorporates those gaps from existing literature. The research was performed on a </w:t>
      </w:r>
      <w:proofErr w:type="gramStart"/>
      <w:r w:rsidR="00C072F1" w:rsidRPr="00C072F1">
        <w:rPr>
          <w:rFonts w:ascii="Arial" w:hAnsi="Arial" w:cs="Arial"/>
          <w:sz w:val="20"/>
          <w:szCs w:val="20"/>
        </w:rPr>
        <w:t>large scale</w:t>
      </w:r>
      <w:proofErr w:type="gramEnd"/>
      <w:r w:rsidR="00C072F1" w:rsidRPr="00C072F1">
        <w:rPr>
          <w:rFonts w:ascii="Arial" w:hAnsi="Arial" w:cs="Arial"/>
          <w:sz w:val="20"/>
          <w:szCs w:val="20"/>
        </w:rPr>
        <w:t xml:space="preserve"> water infrastructure dataset of 300,000 pipeline records, comparing eight machine learning algorithms including LightGBM, XGBoost, Random Forest, CatBoost, Artificial Neural Network (ANN), Logistic Regression (LR), Support Vector Classifier (SVC), and Naive Bayes. The model development of CatBoost, XGBoost, and LightGBM showed comparably close performance. LightGBM was finally selected because it presented the best </w:t>
      </w:r>
      <w:proofErr w:type="gramStart"/>
      <w:r w:rsidR="00C072F1" w:rsidRPr="00C072F1">
        <w:rPr>
          <w:rFonts w:ascii="Arial" w:hAnsi="Arial" w:cs="Arial"/>
          <w:sz w:val="20"/>
          <w:szCs w:val="20"/>
        </w:rPr>
        <w:t>maintenance oriented</w:t>
      </w:r>
      <w:proofErr w:type="gramEnd"/>
      <w:r w:rsidR="00C072F1" w:rsidRPr="00C072F1">
        <w:rPr>
          <w:rFonts w:ascii="Arial" w:hAnsi="Arial" w:cs="Arial"/>
          <w:sz w:val="20"/>
          <w:szCs w:val="20"/>
        </w:rPr>
        <w:t xml:space="preserve"> objective at an optimized threshold of 0.189, ROC-AUC of 0.8692, PRAUC of 0.7906, recall of 0.9543, and F2-score of 0.8305. it identifies 22,803 high risk pipeline cases with only 1,093 missed cases on an independent test set. Furthermore, the REPMF configuration lowers false negatives by 82.30% compared to the baseline LightGBM model. According to SHAP analysis, the dominant predictors of failure risk are pipe age and material, followed by burial depth, diameter, water pH, and pipe length. These results prove that the REPMF is realistic, reliable, and interpretable in terms of a decision support framework for proactive water utility maintenance and </w:t>
      </w:r>
      <w:proofErr w:type="gramStart"/>
      <w:r w:rsidR="00C072F1" w:rsidRPr="00C072F1">
        <w:rPr>
          <w:rFonts w:ascii="Arial" w:hAnsi="Arial" w:cs="Arial"/>
          <w:sz w:val="20"/>
          <w:szCs w:val="20"/>
        </w:rPr>
        <w:t>risk based</w:t>
      </w:r>
      <w:proofErr w:type="gramEnd"/>
      <w:r w:rsidR="00C072F1" w:rsidRPr="00C072F1">
        <w:rPr>
          <w:rFonts w:ascii="Arial" w:hAnsi="Arial" w:cs="Arial"/>
          <w:sz w:val="20"/>
          <w:szCs w:val="20"/>
        </w:rPr>
        <w:t xml:space="preserve"> asset prioritization.</w:t>
      </w:r>
    </w:p>
    <w:p w14:paraId="08F7DDB7" w14:textId="77777777" w:rsidR="00652930" w:rsidRDefault="00652930" w:rsidP="00A51969">
      <w:pPr>
        <w:spacing w:after="0" w:line="240" w:lineRule="auto"/>
        <w:jc w:val="both"/>
        <w:rPr>
          <w:rFonts w:ascii="Arial" w:hAnsi="Arial" w:cs="Arial"/>
          <w:sz w:val="20"/>
          <w:szCs w:val="20"/>
        </w:rPr>
      </w:pPr>
    </w:p>
    <w:p w14:paraId="3B738A96" w14:textId="3E20BCCD"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Deden Witarsyah. COMPREHENSIVE EVOLUTION FRAMEWORK FOR TVET 5.0: INTEGRATING HUMAN-CENTRICITY AND DIGITAL SYMBIOSIS IN VOCATIONAL EDUCATION</w:t>
      </w:r>
    </w:p>
    <w:p w14:paraId="5A9875E1" w14:textId="3F20803F"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lastRenderedPageBreak/>
        <w:t>Abstract:</w:t>
      </w:r>
      <w:r w:rsidR="00C072F1" w:rsidRPr="00C072F1">
        <w:rPr>
          <w:rFonts w:ascii="Arial" w:hAnsi="Arial" w:cs="Arial"/>
          <w:sz w:val="20"/>
          <w:szCs w:val="20"/>
        </w:rPr>
        <w:t xml:space="preserve"> The global paradigm for Technical and Vocational Education and Training (TVET) is undergoing a fundamental metamorphosis as societies transition from technology-driven Industry 4.0 automation toward the human-centric and sustainable imperatives of Industry 5.0 and Society 5.0. In modernizing economies like Malaysia, the traditional supply of labor is being replaced by a demand for resilient, ethical, and technologically proficient citizens. This report, based on analysis of current strategic frameworks, proposes the Comprehensive Evolution Framework for TVET 5.0 (CEF-T5.0) and its implementation architecture, the Strategic Architecture for Integrated TVET 5.0 (SAI-T5). By synthesizing eight foundational digital enablers adapted from European JRC benchmarks across four strategic pillars, this conceptual architecture establishes a new social contract designed to transform TVET institutions into agile, inclusive innovation hubs.</w:t>
      </w:r>
    </w:p>
    <w:p w14:paraId="58B8A1B7" w14:textId="77777777" w:rsidR="00652930" w:rsidRDefault="00652930" w:rsidP="00A51969">
      <w:pPr>
        <w:spacing w:after="0" w:line="240" w:lineRule="auto"/>
        <w:jc w:val="both"/>
        <w:rPr>
          <w:rFonts w:ascii="Arial" w:hAnsi="Arial" w:cs="Arial"/>
          <w:sz w:val="20"/>
          <w:szCs w:val="20"/>
        </w:rPr>
      </w:pPr>
    </w:p>
    <w:p w14:paraId="3958826D" w14:textId="3C6EA115" w:rsidR="00F15FF0" w:rsidRPr="00F15FF0" w:rsidRDefault="00F15FF0" w:rsidP="00F15FF0">
      <w:pPr>
        <w:spacing w:after="0" w:line="240" w:lineRule="auto"/>
        <w:jc w:val="both"/>
        <w:rPr>
          <w:rFonts w:ascii="Arial" w:hAnsi="Arial" w:cs="Arial"/>
          <w:sz w:val="20"/>
          <w:szCs w:val="20"/>
        </w:rPr>
      </w:pPr>
      <w:r w:rsidRPr="00F15FF0">
        <w:rPr>
          <w:rFonts w:ascii="Arial" w:hAnsi="Arial" w:cs="Arial"/>
          <w:sz w:val="20"/>
          <w:szCs w:val="20"/>
        </w:rPr>
        <w:t>Çağla Tuğberk Ariker and Adnan Duygun. Impacts of AI on Socioeconomic Sustainability</w:t>
      </w:r>
    </w:p>
    <w:p w14:paraId="5A4BA107" w14:textId="13907547" w:rsidR="00652930" w:rsidRDefault="00F15FF0" w:rsidP="00F15FF0">
      <w:pPr>
        <w:spacing w:after="0" w:line="240" w:lineRule="auto"/>
        <w:jc w:val="both"/>
        <w:rPr>
          <w:rFonts w:ascii="Arial" w:hAnsi="Arial" w:cs="Arial"/>
          <w:sz w:val="20"/>
          <w:szCs w:val="20"/>
        </w:rPr>
      </w:pPr>
      <w:r w:rsidRPr="00F15FF0">
        <w:rPr>
          <w:rFonts w:ascii="Arial" w:hAnsi="Arial" w:cs="Arial"/>
          <w:sz w:val="20"/>
          <w:szCs w:val="20"/>
        </w:rPr>
        <w:t>Abstract. Despite the rapidly expanding literature on artificial intelligence (AI), studies integrating both the negative and positive socioeconomic impacts of AI within the framework of the Sustainable Development Goals (SDGs) remain limited. This study addresses this gap by reviewing current literature and international reports on AI and socioeconomic sustainability. The review focuses on four risk categories from a negative perspective. These include inequality and bias; security, privacy and trust risks; employment displacement and workforce transition risks; and finally, ethical and governance challenges. These risks can negatively impact the SDGs related to reduced inequalities; peace, justice and strong institutions; decent work and economic growth; good health and well-being; and quality education. Despite these risks, AI also makes a positive contribution to socioeconomic sustainability in all five areas. These are business performance and economic prosperity; health and quality of life; agriculture and food security; education and human development; and transport safety and mobility. These positive contributions support the SDGs related to decent work and economic growth; health and well-being; zero hunger; quality education; and sustainable cities. Based on the findings, it is possible to state that AI both hinders and supports sustainable development. This study integrates the negative and positive aspects of artificial intelligence within the framework of the Sustainable Development Goals, offering researchers, policymakers, and practitioners a perspective on developing more sustainable AI strategies.</w:t>
      </w:r>
    </w:p>
    <w:p w14:paraId="0EB596F1" w14:textId="77777777" w:rsidR="00F15FF0" w:rsidRDefault="00F15FF0" w:rsidP="00F15FF0">
      <w:pPr>
        <w:spacing w:after="0" w:line="240" w:lineRule="auto"/>
        <w:jc w:val="both"/>
        <w:rPr>
          <w:rFonts w:ascii="Arial" w:hAnsi="Arial" w:cs="Arial"/>
          <w:sz w:val="20"/>
          <w:szCs w:val="20"/>
        </w:rPr>
      </w:pPr>
    </w:p>
    <w:p w14:paraId="27DF120C" w14:textId="4C1EF28B"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Danarto Tri Sasongko, Harco Leslie Hendric Spits Warnars, Yohannes Kurniawan, Sfenrianto Sfenrianto and Harjanto Prabowo. Mapping Trustworthy Retrieval-Augmented Generation: A Multidimensional Landscape Across Pipeline Stages</w:t>
      </w:r>
    </w:p>
    <w:p w14:paraId="3FA378A5" w14:textId="3C58CA1E"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Abstract. RAG enhances Large Language Models (LLMs) by retrieving external</w:t>
      </w:r>
      <w:r w:rsidR="00CA5C33">
        <w:rPr>
          <w:rFonts w:ascii="Arial" w:hAnsi="Arial" w:cs="Arial"/>
          <w:sz w:val="20"/>
          <w:szCs w:val="20"/>
        </w:rPr>
        <w:t xml:space="preserve"> </w:t>
      </w:r>
      <w:r w:rsidR="00C072F1" w:rsidRPr="00C072F1">
        <w:rPr>
          <w:rFonts w:ascii="Arial" w:hAnsi="Arial" w:cs="Arial"/>
          <w:sz w:val="20"/>
          <w:szCs w:val="20"/>
        </w:rPr>
        <w:t>knowledge to reduce hallucinations. However, RAG deployment introduces</w:t>
      </w:r>
      <w:r w:rsidR="00CA5C33">
        <w:rPr>
          <w:rFonts w:ascii="Arial" w:hAnsi="Arial" w:cs="Arial"/>
          <w:sz w:val="20"/>
          <w:szCs w:val="20"/>
        </w:rPr>
        <w:t xml:space="preserve"> </w:t>
      </w:r>
      <w:r w:rsidR="00C072F1" w:rsidRPr="00C072F1">
        <w:rPr>
          <w:rFonts w:ascii="Arial" w:hAnsi="Arial" w:cs="Arial"/>
          <w:sz w:val="20"/>
          <w:szCs w:val="20"/>
        </w:rPr>
        <w:t>both technical and ethical challenges in areas such as cybersecurity, privacy, bias,</w:t>
      </w:r>
      <w:r w:rsidR="00CA5C33">
        <w:rPr>
          <w:rFonts w:ascii="Arial" w:hAnsi="Arial" w:cs="Arial"/>
          <w:sz w:val="20"/>
          <w:szCs w:val="20"/>
        </w:rPr>
        <w:t xml:space="preserve"> </w:t>
      </w:r>
      <w:r w:rsidR="00C072F1" w:rsidRPr="00C072F1">
        <w:rPr>
          <w:rFonts w:ascii="Arial" w:hAnsi="Arial" w:cs="Arial"/>
          <w:sz w:val="20"/>
          <w:szCs w:val="20"/>
        </w:rPr>
        <w:t>and explainability, which affect user trust. Prior surveys describe RAG implementation</w:t>
      </w:r>
      <w:r w:rsidR="00CA5C33">
        <w:rPr>
          <w:rFonts w:ascii="Arial" w:hAnsi="Arial" w:cs="Arial"/>
          <w:sz w:val="20"/>
          <w:szCs w:val="20"/>
        </w:rPr>
        <w:t xml:space="preserve"> </w:t>
      </w:r>
      <w:r w:rsidR="00C072F1" w:rsidRPr="00C072F1">
        <w:rPr>
          <w:rFonts w:ascii="Arial" w:hAnsi="Arial" w:cs="Arial"/>
          <w:sz w:val="20"/>
          <w:szCs w:val="20"/>
        </w:rPr>
        <w:t>techniques but rarely map them systematically to international</w:t>
      </w:r>
      <w:r w:rsidR="00CA5C33">
        <w:rPr>
          <w:rFonts w:ascii="Arial" w:hAnsi="Arial" w:cs="Arial"/>
          <w:sz w:val="20"/>
          <w:szCs w:val="20"/>
        </w:rPr>
        <w:t xml:space="preserve"> </w:t>
      </w:r>
      <w:r w:rsidR="00C072F1" w:rsidRPr="00C072F1">
        <w:rPr>
          <w:rFonts w:ascii="Arial" w:hAnsi="Arial" w:cs="Arial"/>
          <w:sz w:val="20"/>
          <w:szCs w:val="20"/>
        </w:rPr>
        <w:t>trustworthy AI standards,</w:t>
      </w:r>
      <w:r w:rsidR="00CA5C33">
        <w:rPr>
          <w:rFonts w:ascii="Arial" w:hAnsi="Arial" w:cs="Arial"/>
          <w:sz w:val="20"/>
          <w:szCs w:val="20"/>
        </w:rPr>
        <w:t xml:space="preserve"> </w:t>
      </w:r>
      <w:r w:rsidR="00C072F1" w:rsidRPr="00C072F1">
        <w:rPr>
          <w:rFonts w:ascii="Arial" w:hAnsi="Arial" w:cs="Arial"/>
          <w:sz w:val="20"/>
          <w:szCs w:val="20"/>
        </w:rPr>
        <w:t>particularly the NIST AI Risk Management Framework</w:t>
      </w:r>
      <w:r w:rsidR="00CA5C33">
        <w:rPr>
          <w:rFonts w:ascii="Arial" w:hAnsi="Arial" w:cs="Arial"/>
          <w:sz w:val="20"/>
          <w:szCs w:val="20"/>
        </w:rPr>
        <w:t xml:space="preserve"> </w:t>
      </w:r>
      <w:r w:rsidR="00C072F1" w:rsidRPr="00C072F1">
        <w:rPr>
          <w:rFonts w:ascii="Arial" w:hAnsi="Arial" w:cs="Arial"/>
          <w:sz w:val="20"/>
          <w:szCs w:val="20"/>
        </w:rPr>
        <w:t>and the EU AI HLEG Ethics Guidelines. This study synthesizes both</w:t>
      </w:r>
      <w:r w:rsidR="00CA5C33">
        <w:rPr>
          <w:rFonts w:ascii="Arial" w:hAnsi="Arial" w:cs="Arial"/>
          <w:sz w:val="20"/>
          <w:szCs w:val="20"/>
        </w:rPr>
        <w:t xml:space="preserve"> </w:t>
      </w:r>
      <w:r w:rsidR="00C072F1" w:rsidRPr="00C072F1">
        <w:rPr>
          <w:rFonts w:ascii="Arial" w:hAnsi="Arial" w:cs="Arial"/>
          <w:sz w:val="20"/>
          <w:szCs w:val="20"/>
        </w:rPr>
        <w:t>standards into five unified dimensions, namely Robustness-Validity-Reliability</w:t>
      </w:r>
      <w:r w:rsidR="00CA5C33">
        <w:rPr>
          <w:rFonts w:ascii="Arial" w:hAnsi="Arial" w:cs="Arial"/>
          <w:sz w:val="20"/>
          <w:szCs w:val="20"/>
        </w:rPr>
        <w:t xml:space="preserve"> </w:t>
      </w:r>
      <w:r w:rsidR="00C072F1" w:rsidRPr="00C072F1">
        <w:rPr>
          <w:rFonts w:ascii="Arial" w:hAnsi="Arial" w:cs="Arial"/>
          <w:sz w:val="20"/>
          <w:szCs w:val="20"/>
        </w:rPr>
        <w:t>(RVR), Safety-Security (SS), Privacy, Transparency-Explainability-</w:t>
      </w:r>
      <w:r w:rsidR="00CA5C33">
        <w:rPr>
          <w:rFonts w:ascii="Arial" w:hAnsi="Arial" w:cs="Arial"/>
          <w:sz w:val="20"/>
          <w:szCs w:val="20"/>
        </w:rPr>
        <w:t xml:space="preserve"> </w:t>
      </w:r>
      <w:r w:rsidR="00C072F1" w:rsidRPr="00C072F1">
        <w:rPr>
          <w:rFonts w:ascii="Arial" w:hAnsi="Arial" w:cs="Arial"/>
          <w:sz w:val="20"/>
          <w:szCs w:val="20"/>
        </w:rPr>
        <w:t>Interpretability-Accountability (TEIA), and Fairness. To address this gap, we</w:t>
      </w:r>
      <w:r w:rsidR="00CA5C33">
        <w:rPr>
          <w:rFonts w:ascii="Arial" w:hAnsi="Arial" w:cs="Arial"/>
          <w:sz w:val="20"/>
          <w:szCs w:val="20"/>
        </w:rPr>
        <w:t xml:space="preserve"> </w:t>
      </w:r>
      <w:r w:rsidR="00C072F1" w:rsidRPr="00C072F1">
        <w:rPr>
          <w:rFonts w:ascii="Arial" w:hAnsi="Arial" w:cs="Arial"/>
          <w:sz w:val="20"/>
          <w:szCs w:val="20"/>
        </w:rPr>
        <w:t>conducted a PRISMA-based Systematic Literature Review (SLR) of 34 Scopusindexed</w:t>
      </w:r>
      <w:r w:rsidR="00CA5C33">
        <w:rPr>
          <w:rFonts w:ascii="Arial" w:hAnsi="Arial" w:cs="Arial"/>
          <w:sz w:val="20"/>
          <w:szCs w:val="20"/>
        </w:rPr>
        <w:t xml:space="preserve"> </w:t>
      </w:r>
      <w:r w:rsidR="00C072F1" w:rsidRPr="00C072F1">
        <w:rPr>
          <w:rFonts w:ascii="Arial" w:hAnsi="Arial" w:cs="Arial"/>
          <w:sz w:val="20"/>
          <w:szCs w:val="20"/>
        </w:rPr>
        <w:t>studies to map trustworthiness techniques across four RAG pipeline</w:t>
      </w:r>
      <w:r w:rsidR="00CA5C33">
        <w:rPr>
          <w:rFonts w:ascii="Arial" w:hAnsi="Arial" w:cs="Arial"/>
          <w:sz w:val="20"/>
          <w:szCs w:val="20"/>
        </w:rPr>
        <w:t xml:space="preserve"> </w:t>
      </w:r>
      <w:r w:rsidR="00C072F1" w:rsidRPr="00C072F1">
        <w:rPr>
          <w:rFonts w:ascii="Arial" w:hAnsi="Arial" w:cs="Arial"/>
          <w:sz w:val="20"/>
          <w:szCs w:val="20"/>
        </w:rPr>
        <w:t>stages: pre-retrieval, retrieval, post-retrieval, and generation. The findings reveal</w:t>
      </w:r>
      <w:r w:rsidR="00CA5C33">
        <w:rPr>
          <w:rFonts w:ascii="Arial" w:hAnsi="Arial" w:cs="Arial"/>
          <w:sz w:val="20"/>
          <w:szCs w:val="20"/>
        </w:rPr>
        <w:t xml:space="preserve"> </w:t>
      </w:r>
      <w:r w:rsidR="00C072F1" w:rsidRPr="00C072F1">
        <w:rPr>
          <w:rFonts w:ascii="Arial" w:hAnsi="Arial" w:cs="Arial"/>
          <w:sz w:val="20"/>
          <w:szCs w:val="20"/>
        </w:rPr>
        <w:t>that only 6 of the 34 studies address more than one dimension, Fairness</w:t>
      </w:r>
      <w:r w:rsidR="00CA5C33">
        <w:rPr>
          <w:rFonts w:ascii="Arial" w:hAnsi="Arial" w:cs="Arial"/>
          <w:sz w:val="20"/>
          <w:szCs w:val="20"/>
        </w:rPr>
        <w:t xml:space="preserve"> </w:t>
      </w:r>
      <w:r w:rsidR="00C072F1" w:rsidRPr="00C072F1">
        <w:rPr>
          <w:rFonts w:ascii="Arial" w:hAnsi="Arial" w:cs="Arial"/>
          <w:sz w:val="20"/>
          <w:szCs w:val="20"/>
        </w:rPr>
        <w:t>remains the least explored, and evaluation rarely integrates automated metrics</w:t>
      </w:r>
      <w:r w:rsidR="00CA5C33">
        <w:rPr>
          <w:rFonts w:ascii="Arial" w:hAnsi="Arial" w:cs="Arial"/>
          <w:sz w:val="20"/>
          <w:szCs w:val="20"/>
        </w:rPr>
        <w:t xml:space="preserve"> </w:t>
      </w:r>
      <w:r w:rsidR="00C072F1" w:rsidRPr="00C072F1">
        <w:rPr>
          <w:rFonts w:ascii="Arial" w:hAnsi="Arial" w:cs="Arial"/>
          <w:sz w:val="20"/>
          <w:szCs w:val="20"/>
        </w:rPr>
        <w:t>with human assessment across dimensions, indicating that current research remains</w:t>
      </w:r>
      <w:r w:rsidR="00CA5C33">
        <w:rPr>
          <w:rFonts w:ascii="Arial" w:hAnsi="Arial" w:cs="Arial"/>
          <w:sz w:val="20"/>
          <w:szCs w:val="20"/>
        </w:rPr>
        <w:t xml:space="preserve"> </w:t>
      </w:r>
      <w:r w:rsidR="00C072F1" w:rsidRPr="00C072F1">
        <w:rPr>
          <w:rFonts w:ascii="Arial" w:hAnsi="Arial" w:cs="Arial"/>
          <w:sz w:val="20"/>
          <w:szCs w:val="20"/>
        </w:rPr>
        <w:t>fragmented. This study contributes a taxonomy that maps techniques</w:t>
      </w:r>
      <w:r w:rsidR="00CA5C33">
        <w:rPr>
          <w:rFonts w:ascii="Arial" w:hAnsi="Arial" w:cs="Arial"/>
          <w:sz w:val="20"/>
          <w:szCs w:val="20"/>
        </w:rPr>
        <w:t xml:space="preserve"> </w:t>
      </w:r>
      <w:r w:rsidR="00C072F1" w:rsidRPr="00C072F1">
        <w:rPr>
          <w:rFonts w:ascii="Arial" w:hAnsi="Arial" w:cs="Arial"/>
          <w:sz w:val="20"/>
          <w:szCs w:val="20"/>
        </w:rPr>
        <w:t>across trustworthiness dimensions and pipeline stages, providing researchers</w:t>
      </w:r>
      <w:r w:rsidR="00CA5C33">
        <w:rPr>
          <w:rFonts w:ascii="Arial" w:hAnsi="Arial" w:cs="Arial"/>
          <w:sz w:val="20"/>
          <w:szCs w:val="20"/>
        </w:rPr>
        <w:t xml:space="preserve"> </w:t>
      </w:r>
      <w:r w:rsidR="00C072F1" w:rsidRPr="00C072F1">
        <w:rPr>
          <w:rFonts w:ascii="Arial" w:hAnsi="Arial" w:cs="Arial"/>
          <w:sz w:val="20"/>
          <w:szCs w:val="20"/>
        </w:rPr>
        <w:t>with a landscape for identifying underexplored areas and practitioners in selecting</w:t>
      </w:r>
      <w:r w:rsidR="00CA5C33">
        <w:rPr>
          <w:rFonts w:ascii="Arial" w:hAnsi="Arial" w:cs="Arial"/>
          <w:sz w:val="20"/>
          <w:szCs w:val="20"/>
        </w:rPr>
        <w:t xml:space="preserve"> </w:t>
      </w:r>
      <w:r w:rsidR="00C072F1" w:rsidRPr="00C072F1">
        <w:rPr>
          <w:rFonts w:ascii="Arial" w:hAnsi="Arial" w:cs="Arial"/>
          <w:sz w:val="20"/>
          <w:szCs w:val="20"/>
        </w:rPr>
        <w:t>techniques for more trustworthy RAG implementation.</w:t>
      </w:r>
    </w:p>
    <w:p w14:paraId="0FB5CA4F" w14:textId="77777777" w:rsidR="00652930" w:rsidRDefault="00652930" w:rsidP="00A51969">
      <w:pPr>
        <w:spacing w:after="0" w:line="240" w:lineRule="auto"/>
        <w:jc w:val="both"/>
        <w:rPr>
          <w:rFonts w:ascii="Arial" w:hAnsi="Arial" w:cs="Arial"/>
          <w:sz w:val="20"/>
          <w:szCs w:val="20"/>
        </w:rPr>
      </w:pPr>
    </w:p>
    <w:p w14:paraId="7D58252F" w14:textId="10A471FE"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Alı Özbek. Reviewing Publications on The Use of Artificial Intelligence in Cost Accounting Systems Using WOSviewer</w:t>
      </w:r>
    </w:p>
    <w:p w14:paraId="399774B6" w14:textId="28EE6FDE" w:rsidR="00C072F1" w:rsidRPr="00C072F1"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The aim of this research is to examine the international scientific literature on the use of artificial intelligence in cost accounting systems using bibliometric methods. A search was conducted on June 22, 2026, using the keyword "The Use of Artificial Intelligence in Cost Accounting Systems," yielding 660 publications. The years 2020-2025 were selected, and 426 publications were evaluated. The highest number of publications occurred in 2025 with 78 publications and 2962 citations. Computer Sciences Information Systems leads with 68 publications. Globally, Good, Healthy, and Well-being is the leading publication with 75 publications. WOS.SCI is in first place with 227 publications. 441 of the publications were in English. Bottino Verdiana, Del Prete Francesco, and Ruggiero Davide are close to the network's center in terms of co-authorship. Saudi Electronic University has numerous collaborative projects with other universities. China is central, but it is connected to all other countries. The US and Saudi Arabia have made significant contributions in recent years. The most frequently occurring keyword is "Artificial intelligence," with 35 occurrences and 180 total links. This </w:t>
      </w:r>
      <w:r w:rsidR="00C072F1" w:rsidRPr="00C072F1">
        <w:rPr>
          <w:rFonts w:ascii="Arial" w:hAnsi="Arial" w:cs="Arial"/>
          <w:sz w:val="20"/>
          <w:szCs w:val="20"/>
        </w:rPr>
        <w:lastRenderedPageBreak/>
        <w:t>is followed by "accounting," with 8 occurrences and 44 total links. This study will fill gaps in the literature on the use of artificial intelligence in cost accounting systems and contribute to the field.</w:t>
      </w:r>
    </w:p>
    <w:p w14:paraId="796E1EE7" w14:textId="77777777" w:rsidR="00652930" w:rsidRDefault="00652930" w:rsidP="00A51969">
      <w:pPr>
        <w:spacing w:after="0" w:line="240" w:lineRule="auto"/>
        <w:jc w:val="both"/>
        <w:rPr>
          <w:rFonts w:ascii="Arial" w:hAnsi="Arial" w:cs="Arial"/>
          <w:sz w:val="20"/>
          <w:szCs w:val="20"/>
        </w:rPr>
      </w:pPr>
    </w:p>
    <w:p w14:paraId="02652E88" w14:textId="3DDD9A1D" w:rsidR="00C072F1" w:rsidRPr="00C072F1" w:rsidRDefault="00C072F1" w:rsidP="00A51969">
      <w:pPr>
        <w:spacing w:after="0" w:line="240" w:lineRule="auto"/>
        <w:jc w:val="both"/>
        <w:rPr>
          <w:rFonts w:ascii="Arial" w:hAnsi="Arial" w:cs="Arial"/>
          <w:sz w:val="20"/>
          <w:szCs w:val="20"/>
        </w:rPr>
      </w:pPr>
      <w:r w:rsidRPr="00C072F1">
        <w:rPr>
          <w:rFonts w:ascii="Arial" w:hAnsi="Arial" w:cs="Arial"/>
          <w:sz w:val="20"/>
          <w:szCs w:val="20"/>
        </w:rPr>
        <w:t>Indriati I. A Comparative Study of BERTopic and Top2Vec for As-pect-Based Sentiment Analysis on Public Opinion To-ward Indonesia’s New Capital City Development</w:t>
      </w:r>
    </w:p>
    <w:p w14:paraId="5BD59A9A" w14:textId="4D49336E" w:rsidR="00C751C2" w:rsidRDefault="007157A4" w:rsidP="00A51969">
      <w:pPr>
        <w:spacing w:after="0" w:line="240" w:lineRule="auto"/>
        <w:jc w:val="both"/>
        <w:rPr>
          <w:rFonts w:ascii="Arial" w:hAnsi="Arial" w:cs="Arial"/>
          <w:sz w:val="20"/>
          <w:szCs w:val="20"/>
        </w:rPr>
      </w:pPr>
      <w:r>
        <w:rPr>
          <w:rFonts w:ascii="Arial" w:hAnsi="Arial" w:cs="Arial"/>
          <w:sz w:val="20"/>
          <w:szCs w:val="20"/>
        </w:rPr>
        <w:t>Abstract:</w:t>
      </w:r>
      <w:r w:rsidR="00C072F1" w:rsidRPr="00C072F1">
        <w:rPr>
          <w:rFonts w:ascii="Arial" w:hAnsi="Arial" w:cs="Arial"/>
          <w:sz w:val="20"/>
          <w:szCs w:val="20"/>
        </w:rPr>
        <w:t xml:space="preserve"> The development of Indonesia’s new capital city Ibu Kota Nusantara (IKN) has become one of the country’s most strategic national projects, generating widespread public discourse across social media platforms. Understanding these public opinions is crucial for policymakers, particularly in identifying specific concerns beyond general sentiment polarity. Aspect-Based Sentiment Analysis (ABSA) provides a fine-grained approach by extracting aspects dis-cussed within textual opinions. Topic modeling has become a key mechanism for aspect extraction, with recent embedding-based methods such as BERTopic and Top2Vec showing promising performance. However, their comparative ef-fectiveness in public policy discourse remains underexplored. This study pre-sents a controlled comparative analysis of BERTopic and Top2Vec using the same dataset of public opinions collected from X regarding Indonesia’s new capital city development. The evaluation combines quantitative analysis using topic coherence scores and qualitative assessment of topic interpretability. Ex-perimental results show that Top2Vec achieved the highest coherence score of 0.5136 in the negative sentiment subset, while BERTopic demonstrated more stable performance across the global corpus with a coherence score of 0.4758. Furthermore, BERTopic produced more interpretable macro-level policy as-pects, whereas Top2Vec excelled in identifying semantically dense critical nar-ratives. These findings indicate that BERTopic is more suitable for structured policy analysis, while Top2Vec is advantageous for exploratory sentiment-specific analysis.</w:t>
      </w:r>
    </w:p>
    <w:p w14:paraId="473EA3AA" w14:textId="77777777" w:rsidR="007157A4" w:rsidRDefault="007157A4" w:rsidP="00A51969">
      <w:pPr>
        <w:spacing w:after="0" w:line="240" w:lineRule="auto"/>
        <w:jc w:val="both"/>
        <w:rPr>
          <w:rFonts w:ascii="Arial" w:hAnsi="Arial" w:cs="Arial"/>
          <w:sz w:val="20"/>
          <w:szCs w:val="20"/>
        </w:rPr>
      </w:pPr>
    </w:p>
    <w:p w14:paraId="287A30D2" w14:textId="77777777" w:rsidR="007157A4" w:rsidRPr="007157A4" w:rsidRDefault="007157A4" w:rsidP="00A51969">
      <w:pPr>
        <w:spacing w:after="0" w:line="240" w:lineRule="auto"/>
        <w:jc w:val="both"/>
        <w:rPr>
          <w:rFonts w:ascii="Arial" w:hAnsi="Arial" w:cs="Arial"/>
          <w:sz w:val="20"/>
          <w:szCs w:val="20"/>
        </w:rPr>
      </w:pPr>
      <w:r w:rsidRPr="007157A4">
        <w:rPr>
          <w:rFonts w:ascii="Arial" w:hAnsi="Arial" w:cs="Arial"/>
          <w:sz w:val="20"/>
          <w:szCs w:val="20"/>
        </w:rPr>
        <w:t>Cansu Türker. AI Literacy and the Digital Divide: A Multi-Layered Synthesis and Future Research Agenda</w:t>
      </w:r>
    </w:p>
    <w:p w14:paraId="72AFB1DE" w14:textId="4EC32747" w:rsidR="007157A4" w:rsidRDefault="007157A4" w:rsidP="00A51969">
      <w:pPr>
        <w:spacing w:after="0" w:line="240" w:lineRule="auto"/>
        <w:jc w:val="both"/>
        <w:rPr>
          <w:rFonts w:ascii="Arial" w:hAnsi="Arial" w:cs="Arial"/>
          <w:sz w:val="20"/>
          <w:szCs w:val="20"/>
        </w:rPr>
      </w:pPr>
      <w:r w:rsidRPr="007157A4">
        <w:rPr>
          <w:rFonts w:ascii="Arial" w:hAnsi="Arial" w:cs="Arial"/>
          <w:sz w:val="20"/>
          <w:szCs w:val="20"/>
        </w:rPr>
        <w:t>Abstract:</w:t>
      </w:r>
      <w:r w:rsidRPr="007157A4">
        <w:rPr>
          <w:rFonts w:ascii="Arial" w:hAnsi="Arial" w:cs="Arial"/>
          <w:b/>
          <w:bCs/>
          <w:sz w:val="20"/>
          <w:szCs w:val="20"/>
        </w:rPr>
        <w:t xml:space="preserve"> </w:t>
      </w:r>
      <w:r w:rsidRPr="007157A4">
        <w:rPr>
          <w:rFonts w:ascii="Arial" w:hAnsi="Arial" w:cs="Arial"/>
          <w:sz w:val="20"/>
          <w:szCs w:val="20"/>
        </w:rPr>
        <w:t xml:space="preserve">The incorporation of artificial intelligence into every sphere of life has in-troduced new forms of inequality at individual and societal levels. Howev-er, the two bodies of scholarship addressing these inequalities, AI literacy and digital divide research, have evolved largely on separate tracks. This study integrates the two fields through a two-stage design: a bibliometric analysis of 948 AI literacy and 9,470 digital divide articles maps </w:t>
      </w:r>
      <w:proofErr w:type="gramStart"/>
      <w:r w:rsidRPr="007157A4">
        <w:rPr>
          <w:rFonts w:ascii="Arial" w:hAnsi="Arial" w:cs="Arial"/>
          <w:sz w:val="20"/>
          <w:szCs w:val="20"/>
        </w:rPr>
        <w:t>their</w:t>
      </w:r>
      <w:proofErr w:type="gramEnd"/>
      <w:r w:rsidRPr="007157A4">
        <w:rPr>
          <w:rFonts w:ascii="Arial" w:hAnsi="Arial" w:cs="Arial"/>
          <w:sz w:val="20"/>
          <w:szCs w:val="20"/>
        </w:rPr>
        <w:t xml:space="preserve"> his-torical development and thematic evolution, and a systematic review of 32 studies at their intersection, conducted following PRISMA 2020 </w:t>
      </w:r>
      <w:proofErr w:type="gramStart"/>
      <w:r w:rsidRPr="007157A4">
        <w:rPr>
          <w:rFonts w:ascii="Arial" w:hAnsi="Arial" w:cs="Arial"/>
          <w:sz w:val="20"/>
          <w:szCs w:val="20"/>
        </w:rPr>
        <w:t>guide-lines</w:t>
      </w:r>
      <w:proofErr w:type="gramEnd"/>
      <w:r w:rsidRPr="007157A4">
        <w:rPr>
          <w:rFonts w:ascii="Arial" w:hAnsi="Arial" w:cs="Arial"/>
          <w:sz w:val="20"/>
          <w:szCs w:val="20"/>
        </w:rPr>
        <w:t>, synthesizes theories, contexts, characteristics, and methods using the TCCM framework. The findings show that the two fields converge on the same underlying problem of technological inequality and are complemen-tary: AI literacy captures micro-level individual competencies, while the digital di-vide captures macro-level structural outcomes. Building on this integrated perspective, the study proposes a structured research agenda that translates theoretical, contextual, thematic, and methodological gaps into concrete re-search directions and questions.</w:t>
      </w:r>
    </w:p>
    <w:p w14:paraId="0CA8A7F8" w14:textId="77777777" w:rsidR="00362E9D" w:rsidRDefault="00362E9D" w:rsidP="00A51969">
      <w:pPr>
        <w:spacing w:after="0" w:line="240" w:lineRule="auto"/>
        <w:jc w:val="both"/>
        <w:rPr>
          <w:rFonts w:ascii="Arial" w:hAnsi="Arial" w:cs="Arial"/>
          <w:sz w:val="20"/>
          <w:szCs w:val="20"/>
        </w:rPr>
      </w:pPr>
    </w:p>
    <w:p w14:paraId="546D8445" w14:textId="77777777" w:rsidR="00A95F91" w:rsidRDefault="005350EA" w:rsidP="005350EA">
      <w:pPr>
        <w:spacing w:after="0" w:line="240" w:lineRule="auto"/>
        <w:jc w:val="both"/>
      </w:pPr>
      <w:r w:rsidRPr="005350EA">
        <w:rPr>
          <w:rFonts w:ascii="Arial" w:hAnsi="Arial" w:cs="Arial"/>
          <w:sz w:val="20"/>
          <w:szCs w:val="20"/>
        </w:rPr>
        <w:t>Gracia Gavrilla Amelia Adarta, Richard Richard and Mohamad Heykal. Accounting System Digitalization and Corporate Governance as Determinants of Notes to Financial Statements Disclosure Quality. Abstract: This study aims to analyze the effects of accounting system digitization and corporate governance quality on the quality of Notes to the Financial</w:t>
      </w:r>
      <w:r>
        <w:rPr>
          <w:rFonts w:ascii="Arial" w:hAnsi="Arial" w:cs="Arial"/>
          <w:sz w:val="20"/>
          <w:szCs w:val="20"/>
        </w:rPr>
        <w:t xml:space="preserve"> </w:t>
      </w:r>
      <w:r w:rsidRPr="005350EA">
        <w:rPr>
          <w:rFonts w:ascii="Arial" w:hAnsi="Arial" w:cs="Arial"/>
          <w:sz w:val="20"/>
          <w:szCs w:val="20"/>
        </w:rPr>
        <w:t>Statements in manufacturing companies listed on the Indonesia Stock Exchange</w:t>
      </w:r>
      <w:r>
        <w:rPr>
          <w:rFonts w:ascii="Arial" w:hAnsi="Arial" w:cs="Arial"/>
          <w:sz w:val="20"/>
          <w:szCs w:val="20"/>
        </w:rPr>
        <w:t xml:space="preserve"> </w:t>
      </w:r>
      <w:r w:rsidRPr="005350EA">
        <w:rPr>
          <w:rFonts w:ascii="Arial" w:hAnsi="Arial" w:cs="Arial"/>
          <w:sz w:val="20"/>
          <w:szCs w:val="20"/>
        </w:rPr>
        <w:t>for the 2021–2024 period. Accounting system digitalization is proxied using the</w:t>
      </w:r>
      <w:r>
        <w:rPr>
          <w:rFonts w:ascii="Arial" w:hAnsi="Arial" w:cs="Arial"/>
          <w:sz w:val="20"/>
          <w:szCs w:val="20"/>
        </w:rPr>
        <w:t xml:space="preserve"> </w:t>
      </w:r>
      <w:r w:rsidRPr="005350EA">
        <w:rPr>
          <w:rFonts w:ascii="Arial" w:hAnsi="Arial" w:cs="Arial"/>
          <w:sz w:val="20"/>
          <w:szCs w:val="20"/>
        </w:rPr>
        <w:t>software-to-intangible-assets ratio, while corporate governance quality is measured using the Corporate Governance Quality Index. The quality of Notes to the</w:t>
      </w:r>
      <w:r>
        <w:rPr>
          <w:rFonts w:ascii="Arial" w:hAnsi="Arial" w:cs="Arial"/>
          <w:sz w:val="20"/>
          <w:szCs w:val="20"/>
        </w:rPr>
        <w:t xml:space="preserve"> </w:t>
      </w:r>
      <w:r w:rsidRPr="005350EA">
        <w:rPr>
          <w:rFonts w:ascii="Arial" w:hAnsi="Arial" w:cs="Arial"/>
          <w:sz w:val="20"/>
          <w:szCs w:val="20"/>
        </w:rPr>
        <w:t>Financial Statements is measured using an item-based disclosure index based onrelevant PSAKs. The findings revealed that the digitization of accounting systems and the quality of corporate governance have a positive and significant impact on the quality of financial statement disclosure. This study shows that digitaltransformation will be more effective in improving disclosure quality if supported by effective corporate governance mechanisms.</w:t>
      </w:r>
      <w:r w:rsidR="00A95F91" w:rsidRPr="00A95F91">
        <w:t xml:space="preserve"> </w:t>
      </w:r>
    </w:p>
    <w:p w14:paraId="064911A5" w14:textId="77777777" w:rsidR="00A95F91" w:rsidRDefault="00A95F91" w:rsidP="005350EA">
      <w:pPr>
        <w:spacing w:after="0" w:line="240" w:lineRule="auto"/>
        <w:jc w:val="both"/>
      </w:pPr>
    </w:p>
    <w:p w14:paraId="70651377" w14:textId="160479C4" w:rsidR="00362E9D" w:rsidRDefault="00A95F91" w:rsidP="005350EA">
      <w:pPr>
        <w:spacing w:after="0" w:line="240" w:lineRule="auto"/>
        <w:jc w:val="both"/>
        <w:rPr>
          <w:rFonts w:ascii="Arial" w:hAnsi="Arial" w:cs="Arial"/>
          <w:sz w:val="20"/>
          <w:szCs w:val="20"/>
        </w:rPr>
      </w:pPr>
      <w:r w:rsidRPr="00A95F91">
        <w:rPr>
          <w:rFonts w:ascii="Arial" w:hAnsi="Arial" w:cs="Arial"/>
          <w:sz w:val="20"/>
          <w:szCs w:val="20"/>
        </w:rPr>
        <w:t xml:space="preserve">Gabrielle Hutomo, Devyano Luhukay and Kevin Deniswara. Factors Influencing Indonesia’s Young Generations in Interest to Use Digital Investment </w:t>
      </w:r>
      <w:proofErr w:type="gramStart"/>
      <w:r w:rsidRPr="00A95F91">
        <w:rPr>
          <w:rFonts w:ascii="Arial" w:hAnsi="Arial" w:cs="Arial"/>
          <w:sz w:val="20"/>
          <w:szCs w:val="20"/>
        </w:rPr>
        <w:t xml:space="preserve">Applications </w:t>
      </w:r>
      <w:r>
        <w:rPr>
          <w:rFonts w:ascii="Arial" w:hAnsi="Arial" w:cs="Arial"/>
          <w:sz w:val="20"/>
          <w:szCs w:val="20"/>
        </w:rPr>
        <w:t xml:space="preserve"> </w:t>
      </w:r>
      <w:r w:rsidRPr="00A95F91">
        <w:rPr>
          <w:rFonts w:ascii="Arial" w:hAnsi="Arial" w:cs="Arial"/>
          <w:sz w:val="20"/>
          <w:szCs w:val="20"/>
        </w:rPr>
        <w:t>Abstract</w:t>
      </w:r>
      <w:proofErr w:type="gramEnd"/>
      <w:r w:rsidRPr="00A95F91">
        <w:rPr>
          <w:rFonts w:ascii="Arial" w:hAnsi="Arial" w:cs="Arial"/>
          <w:sz w:val="20"/>
          <w:szCs w:val="20"/>
        </w:rPr>
        <w:t xml:space="preserve">. This study investigates the applicability of the Unified Theory of Acceptance and Use of Technology 2 (UTAUT2) in explaining the interest of Indonesian Generation Z and Millennials in using digital investment applications amid the rapid growth of digital finance adoption. The UTAUT2 was selected since it was one of the most popular technology adoption models and </w:t>
      </w:r>
      <w:proofErr w:type="gramStart"/>
      <w:r w:rsidRPr="00A95F91">
        <w:rPr>
          <w:rFonts w:ascii="Arial" w:hAnsi="Arial" w:cs="Arial"/>
          <w:sz w:val="20"/>
          <w:szCs w:val="20"/>
        </w:rPr>
        <w:t>is able to</w:t>
      </w:r>
      <w:proofErr w:type="gramEnd"/>
      <w:r w:rsidRPr="00A95F91">
        <w:rPr>
          <w:rFonts w:ascii="Arial" w:hAnsi="Arial" w:cs="Arial"/>
          <w:sz w:val="20"/>
          <w:szCs w:val="20"/>
        </w:rPr>
        <w:t xml:space="preserve"> explain behavioral intention better than any other model. However, its universality and predictive power have increasingly been questioned due to inconsistent findings across various contexts. This suggests a potential limitation of the model in digitally mature environments such as Indonesia. Using a quantitative approach, data were collected from 201 Gen Z and Millennial users and analyzed using Partial Least Squares Structural Equation Modeling (PLSSEM). The results show that performance expectancy, habit, and trust significantly influence Indonesian Gen Z and Millennials’ interest in using digital investment applications. This </w:t>
      </w:r>
      <w:proofErr w:type="gramStart"/>
      <w:r w:rsidRPr="00A95F91">
        <w:rPr>
          <w:rFonts w:ascii="Arial" w:hAnsi="Arial" w:cs="Arial"/>
          <w:sz w:val="20"/>
          <w:szCs w:val="20"/>
        </w:rPr>
        <w:t>suggest</w:t>
      </w:r>
      <w:proofErr w:type="gramEnd"/>
      <w:r w:rsidRPr="00A95F91">
        <w:rPr>
          <w:rFonts w:ascii="Arial" w:hAnsi="Arial" w:cs="Arial"/>
          <w:sz w:val="20"/>
          <w:szCs w:val="20"/>
        </w:rPr>
        <w:t xml:space="preserve"> that technology adoption in this context is better explained by a performance-trust-habit-driven model. Rather than treating the model as a failure and insignificant relationships as anomalies, this study views them as empirical </w:t>
      </w:r>
      <w:r w:rsidRPr="00A95F91">
        <w:rPr>
          <w:rFonts w:ascii="Arial" w:hAnsi="Arial" w:cs="Arial"/>
          <w:sz w:val="20"/>
          <w:szCs w:val="20"/>
        </w:rPr>
        <w:lastRenderedPageBreak/>
        <w:t>evidence that the UTAUT2 is context-based, and its constructs can become non-differentiating in digitally mature environments. This study highlights the UTAUT2’s contextual limitations and highlights the need for more parsimonious and context-specific models in explaining young users’ behavior in fintech adoption.</w:t>
      </w:r>
      <w:r w:rsidR="00264022">
        <w:rPr>
          <w:rFonts w:ascii="Arial" w:hAnsi="Arial" w:cs="Arial"/>
          <w:sz w:val="20"/>
          <w:szCs w:val="20"/>
        </w:rPr>
        <w:t xml:space="preserve"> </w:t>
      </w:r>
    </w:p>
    <w:p w14:paraId="4AEEC695" w14:textId="77777777" w:rsidR="00264022" w:rsidRDefault="00264022" w:rsidP="005350EA">
      <w:pPr>
        <w:spacing w:after="0" w:line="240" w:lineRule="auto"/>
        <w:jc w:val="both"/>
        <w:rPr>
          <w:rFonts w:ascii="Arial" w:hAnsi="Arial" w:cs="Arial"/>
          <w:sz w:val="20"/>
          <w:szCs w:val="20"/>
        </w:rPr>
      </w:pPr>
    </w:p>
    <w:p w14:paraId="05DBFB74" w14:textId="77777777" w:rsidR="00264022" w:rsidRPr="007157A4" w:rsidRDefault="00264022" w:rsidP="005350EA">
      <w:pPr>
        <w:spacing w:after="0" w:line="240" w:lineRule="auto"/>
        <w:jc w:val="both"/>
        <w:rPr>
          <w:rFonts w:ascii="Arial" w:hAnsi="Arial" w:cs="Arial"/>
          <w:sz w:val="20"/>
          <w:szCs w:val="20"/>
        </w:rPr>
      </w:pPr>
    </w:p>
    <w:p w14:paraId="71F8777F" w14:textId="77777777" w:rsidR="007157A4" w:rsidRPr="007157A4" w:rsidRDefault="007157A4" w:rsidP="00A51969">
      <w:pPr>
        <w:spacing w:after="0" w:line="240" w:lineRule="auto"/>
        <w:jc w:val="both"/>
        <w:rPr>
          <w:rFonts w:ascii="Arial" w:hAnsi="Arial" w:cs="Arial"/>
          <w:sz w:val="20"/>
          <w:szCs w:val="20"/>
        </w:rPr>
      </w:pPr>
    </w:p>
    <w:p w14:paraId="1CE02E1F" w14:textId="36E510AA" w:rsidR="00AE1338" w:rsidRPr="00AE1338" w:rsidRDefault="00AE1338" w:rsidP="00A51969">
      <w:pPr>
        <w:spacing w:after="0" w:line="240" w:lineRule="auto"/>
        <w:rPr>
          <w:rFonts w:ascii="Arial" w:hAnsi="Arial" w:cs="Arial"/>
          <w:sz w:val="20"/>
          <w:szCs w:val="20"/>
          <w:lang w:val="en-US"/>
        </w:rPr>
      </w:pPr>
      <w:r w:rsidRPr="00AE1338">
        <w:rPr>
          <w:rFonts w:ascii="Arial" w:hAnsi="Arial" w:cs="Arial"/>
          <w:sz w:val="20"/>
          <w:szCs w:val="20"/>
          <w:lang w:val="en-US"/>
        </w:rPr>
        <w:br w:type="page"/>
      </w:r>
    </w:p>
    <w:p w14:paraId="0CBD2ACB" w14:textId="70DC6E8B" w:rsidR="004D09F6" w:rsidRPr="00AE1338" w:rsidRDefault="00AE1338" w:rsidP="00A51969">
      <w:pPr>
        <w:spacing w:after="0" w:line="240" w:lineRule="auto"/>
        <w:jc w:val="both"/>
        <w:rPr>
          <w:rFonts w:ascii="Arial" w:hAnsi="Arial" w:cs="Arial"/>
          <w:sz w:val="20"/>
          <w:szCs w:val="20"/>
          <w:lang w:val="en-US"/>
        </w:rPr>
      </w:pPr>
      <w:r w:rsidRPr="00AE1338">
        <w:rPr>
          <w:rFonts w:ascii="Arial" w:hAnsi="Arial" w:cs="Arial"/>
          <w:noProof/>
          <w:sz w:val="20"/>
          <w:szCs w:val="20"/>
          <w:lang w:val="en-US"/>
        </w:rPr>
        <w:lastRenderedPageBreak/>
        <w:drawing>
          <wp:anchor distT="0" distB="0" distL="114300" distR="114300" simplePos="0" relativeHeight="251659264" behindDoc="0" locked="0" layoutInCell="1" allowOverlap="1" wp14:anchorId="5389C2FB" wp14:editId="74C678C1">
            <wp:simplePos x="0" y="0"/>
            <wp:positionH relativeFrom="column">
              <wp:posOffset>-666345</wp:posOffset>
            </wp:positionH>
            <wp:positionV relativeFrom="paragraph">
              <wp:posOffset>-920886</wp:posOffset>
            </wp:positionV>
            <wp:extent cx="7561634" cy="10707013"/>
            <wp:effectExtent l="0" t="0" r="0" b="0"/>
            <wp:wrapNone/>
            <wp:docPr id="12479296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929699" name="Picture 1247929699"/>
                    <pic:cNvPicPr/>
                  </pic:nvPicPr>
                  <pic:blipFill>
                    <a:blip r:embed="rId10">
                      <a:extLst>
                        <a:ext uri="{28A0092B-C50C-407E-A947-70E740481C1C}">
                          <a14:useLocalDpi xmlns:a14="http://schemas.microsoft.com/office/drawing/2010/main" val="0"/>
                        </a:ext>
                      </a:extLst>
                    </a:blip>
                    <a:stretch>
                      <a:fillRect/>
                    </a:stretch>
                  </pic:blipFill>
                  <pic:spPr>
                    <a:xfrm>
                      <a:off x="0" y="0"/>
                      <a:ext cx="7591983" cy="10749986"/>
                    </a:xfrm>
                    <a:prstGeom prst="rect">
                      <a:avLst/>
                    </a:prstGeom>
                  </pic:spPr>
                </pic:pic>
              </a:graphicData>
            </a:graphic>
            <wp14:sizeRelH relativeFrom="page">
              <wp14:pctWidth>0</wp14:pctWidth>
            </wp14:sizeRelH>
            <wp14:sizeRelV relativeFrom="page">
              <wp14:pctHeight>0</wp14:pctHeight>
            </wp14:sizeRelV>
          </wp:anchor>
        </w:drawing>
      </w:r>
    </w:p>
    <w:sectPr w:rsidR="004D09F6" w:rsidRPr="00AE1338" w:rsidSect="00884990">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A4ABF" w14:textId="77777777" w:rsidR="00120E5F" w:rsidRDefault="00120E5F" w:rsidP="00AE1338">
      <w:pPr>
        <w:spacing w:after="0" w:line="240" w:lineRule="auto"/>
      </w:pPr>
      <w:r>
        <w:separator/>
      </w:r>
    </w:p>
  </w:endnote>
  <w:endnote w:type="continuationSeparator" w:id="0">
    <w:p w14:paraId="6F33BA42" w14:textId="77777777" w:rsidR="00120E5F" w:rsidRDefault="00120E5F" w:rsidP="00AE1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C22CB" w14:textId="77777777" w:rsidR="00120E5F" w:rsidRDefault="00120E5F" w:rsidP="00AE1338">
      <w:pPr>
        <w:spacing w:after="0" w:line="240" w:lineRule="auto"/>
      </w:pPr>
      <w:r>
        <w:separator/>
      </w:r>
    </w:p>
  </w:footnote>
  <w:footnote w:type="continuationSeparator" w:id="0">
    <w:p w14:paraId="40C10821" w14:textId="77777777" w:rsidR="00120E5F" w:rsidRDefault="00120E5F" w:rsidP="00AE13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653AF"/>
    <w:multiLevelType w:val="hybridMultilevel"/>
    <w:tmpl w:val="6CC435E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77E0468"/>
    <w:multiLevelType w:val="hybridMultilevel"/>
    <w:tmpl w:val="747E9992"/>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2D567198"/>
    <w:multiLevelType w:val="multilevel"/>
    <w:tmpl w:val="345AD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A96FE7"/>
    <w:multiLevelType w:val="hybridMultilevel"/>
    <w:tmpl w:val="6EE0E8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A563570"/>
    <w:multiLevelType w:val="hybridMultilevel"/>
    <w:tmpl w:val="747E9992"/>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6C071D38"/>
    <w:multiLevelType w:val="hybridMultilevel"/>
    <w:tmpl w:val="40B614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74869B5"/>
    <w:multiLevelType w:val="multilevel"/>
    <w:tmpl w:val="0838B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2493913">
    <w:abstractNumId w:val="2"/>
  </w:num>
  <w:num w:numId="2" w16cid:durableId="33237474">
    <w:abstractNumId w:val="5"/>
  </w:num>
  <w:num w:numId="3" w16cid:durableId="1752847490">
    <w:abstractNumId w:val="3"/>
  </w:num>
  <w:num w:numId="4" w16cid:durableId="1259219871">
    <w:abstractNumId w:val="4"/>
  </w:num>
  <w:num w:numId="5" w16cid:durableId="1050960229">
    <w:abstractNumId w:val="1"/>
  </w:num>
  <w:num w:numId="6" w16cid:durableId="1373113325">
    <w:abstractNumId w:val="0"/>
  </w:num>
  <w:num w:numId="7" w16cid:durableId="191882890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B5F"/>
    <w:rsid w:val="0000523B"/>
    <w:rsid w:val="00005D72"/>
    <w:rsid w:val="000113A8"/>
    <w:rsid w:val="0001301A"/>
    <w:rsid w:val="00020B5D"/>
    <w:rsid w:val="00021CC9"/>
    <w:rsid w:val="00024596"/>
    <w:rsid w:val="00026B82"/>
    <w:rsid w:val="0003002C"/>
    <w:rsid w:val="00032948"/>
    <w:rsid w:val="00035827"/>
    <w:rsid w:val="000406AC"/>
    <w:rsid w:val="0004187E"/>
    <w:rsid w:val="000427B3"/>
    <w:rsid w:val="00042C2F"/>
    <w:rsid w:val="00054431"/>
    <w:rsid w:val="00055AB2"/>
    <w:rsid w:val="000560D8"/>
    <w:rsid w:val="00057245"/>
    <w:rsid w:val="000614C0"/>
    <w:rsid w:val="0007016A"/>
    <w:rsid w:val="000702F2"/>
    <w:rsid w:val="00075242"/>
    <w:rsid w:val="00076BA8"/>
    <w:rsid w:val="00082253"/>
    <w:rsid w:val="00085082"/>
    <w:rsid w:val="0008640B"/>
    <w:rsid w:val="00090420"/>
    <w:rsid w:val="0009073A"/>
    <w:rsid w:val="0009135E"/>
    <w:rsid w:val="00092FB9"/>
    <w:rsid w:val="00094D48"/>
    <w:rsid w:val="000961BB"/>
    <w:rsid w:val="000A0D86"/>
    <w:rsid w:val="000A31C5"/>
    <w:rsid w:val="000B4F41"/>
    <w:rsid w:val="000C13A2"/>
    <w:rsid w:val="000C4757"/>
    <w:rsid w:val="000C507D"/>
    <w:rsid w:val="000C68E5"/>
    <w:rsid w:val="000C6FC3"/>
    <w:rsid w:val="000E0EB5"/>
    <w:rsid w:val="000E1379"/>
    <w:rsid w:val="000E3F35"/>
    <w:rsid w:val="000E67DA"/>
    <w:rsid w:val="00101097"/>
    <w:rsid w:val="00107499"/>
    <w:rsid w:val="00107C9A"/>
    <w:rsid w:val="001107FE"/>
    <w:rsid w:val="001129D2"/>
    <w:rsid w:val="00114B5B"/>
    <w:rsid w:val="00120E5F"/>
    <w:rsid w:val="00130BAC"/>
    <w:rsid w:val="0013291B"/>
    <w:rsid w:val="001332F2"/>
    <w:rsid w:val="00135342"/>
    <w:rsid w:val="001368FD"/>
    <w:rsid w:val="00151A46"/>
    <w:rsid w:val="0015389C"/>
    <w:rsid w:val="00154369"/>
    <w:rsid w:val="00156B31"/>
    <w:rsid w:val="00156DAC"/>
    <w:rsid w:val="001600D1"/>
    <w:rsid w:val="00164E78"/>
    <w:rsid w:val="00166212"/>
    <w:rsid w:val="00175435"/>
    <w:rsid w:val="00176122"/>
    <w:rsid w:val="001832EB"/>
    <w:rsid w:val="001833BB"/>
    <w:rsid w:val="00183428"/>
    <w:rsid w:val="001868D7"/>
    <w:rsid w:val="00187991"/>
    <w:rsid w:val="0019569C"/>
    <w:rsid w:val="001A29A4"/>
    <w:rsid w:val="001A5F29"/>
    <w:rsid w:val="001B05B4"/>
    <w:rsid w:val="001B75B7"/>
    <w:rsid w:val="001C58A4"/>
    <w:rsid w:val="001D0F81"/>
    <w:rsid w:val="001D26B7"/>
    <w:rsid w:val="001E4DEC"/>
    <w:rsid w:val="001F0458"/>
    <w:rsid w:val="001F06DB"/>
    <w:rsid w:val="00200981"/>
    <w:rsid w:val="002038A2"/>
    <w:rsid w:val="0021121C"/>
    <w:rsid w:val="0021182F"/>
    <w:rsid w:val="00213342"/>
    <w:rsid w:val="00220FA5"/>
    <w:rsid w:val="002217EE"/>
    <w:rsid w:val="00231F1E"/>
    <w:rsid w:val="002340CE"/>
    <w:rsid w:val="002342F5"/>
    <w:rsid w:val="00236A06"/>
    <w:rsid w:val="00240855"/>
    <w:rsid w:val="00250EA9"/>
    <w:rsid w:val="002512AF"/>
    <w:rsid w:val="002534EB"/>
    <w:rsid w:val="00255CF6"/>
    <w:rsid w:val="0026156A"/>
    <w:rsid w:val="00263FD4"/>
    <w:rsid w:val="00264022"/>
    <w:rsid w:val="002663AC"/>
    <w:rsid w:val="00266CFC"/>
    <w:rsid w:val="00273275"/>
    <w:rsid w:val="00277C57"/>
    <w:rsid w:val="00281A6A"/>
    <w:rsid w:val="002833C3"/>
    <w:rsid w:val="00284BDD"/>
    <w:rsid w:val="00285902"/>
    <w:rsid w:val="0029157C"/>
    <w:rsid w:val="0029194A"/>
    <w:rsid w:val="00294AA4"/>
    <w:rsid w:val="00295339"/>
    <w:rsid w:val="00296448"/>
    <w:rsid w:val="00296B9B"/>
    <w:rsid w:val="00297770"/>
    <w:rsid w:val="002A356F"/>
    <w:rsid w:val="002A38AF"/>
    <w:rsid w:val="002A3DC9"/>
    <w:rsid w:val="002A78CE"/>
    <w:rsid w:val="002B3C1D"/>
    <w:rsid w:val="002B4DE8"/>
    <w:rsid w:val="002D0587"/>
    <w:rsid w:val="002D57A7"/>
    <w:rsid w:val="002E292C"/>
    <w:rsid w:val="002F3085"/>
    <w:rsid w:val="00312D45"/>
    <w:rsid w:val="00314935"/>
    <w:rsid w:val="00314C8A"/>
    <w:rsid w:val="00314E21"/>
    <w:rsid w:val="003155E1"/>
    <w:rsid w:val="003158FD"/>
    <w:rsid w:val="0031782F"/>
    <w:rsid w:val="00322C99"/>
    <w:rsid w:val="00322FB3"/>
    <w:rsid w:val="003358F7"/>
    <w:rsid w:val="00335FAB"/>
    <w:rsid w:val="00341A90"/>
    <w:rsid w:val="00343D9B"/>
    <w:rsid w:val="00345F54"/>
    <w:rsid w:val="003572EF"/>
    <w:rsid w:val="00361554"/>
    <w:rsid w:val="00362E9D"/>
    <w:rsid w:val="00364339"/>
    <w:rsid w:val="00365306"/>
    <w:rsid w:val="00367D5E"/>
    <w:rsid w:val="00376C3C"/>
    <w:rsid w:val="00377EBE"/>
    <w:rsid w:val="003805C9"/>
    <w:rsid w:val="00384928"/>
    <w:rsid w:val="00396B5F"/>
    <w:rsid w:val="003A2474"/>
    <w:rsid w:val="003A2BD9"/>
    <w:rsid w:val="003A3529"/>
    <w:rsid w:val="003A3959"/>
    <w:rsid w:val="003B24B8"/>
    <w:rsid w:val="003B25D6"/>
    <w:rsid w:val="003B45D1"/>
    <w:rsid w:val="003B770D"/>
    <w:rsid w:val="003B7C3B"/>
    <w:rsid w:val="003C178E"/>
    <w:rsid w:val="003C3069"/>
    <w:rsid w:val="003C7B44"/>
    <w:rsid w:val="003D3AC6"/>
    <w:rsid w:val="003E08A8"/>
    <w:rsid w:val="003E1FDF"/>
    <w:rsid w:val="003F03E1"/>
    <w:rsid w:val="003F48EA"/>
    <w:rsid w:val="003F7BF9"/>
    <w:rsid w:val="0040059B"/>
    <w:rsid w:val="004066FB"/>
    <w:rsid w:val="0040784B"/>
    <w:rsid w:val="00420C87"/>
    <w:rsid w:val="00422D86"/>
    <w:rsid w:val="00430615"/>
    <w:rsid w:val="004423D9"/>
    <w:rsid w:val="00443DB6"/>
    <w:rsid w:val="00447422"/>
    <w:rsid w:val="0045679F"/>
    <w:rsid w:val="0045768D"/>
    <w:rsid w:val="004641A3"/>
    <w:rsid w:val="0046745D"/>
    <w:rsid w:val="00471E66"/>
    <w:rsid w:val="004754D0"/>
    <w:rsid w:val="00480A54"/>
    <w:rsid w:val="00482C2D"/>
    <w:rsid w:val="00482EC4"/>
    <w:rsid w:val="004874E7"/>
    <w:rsid w:val="00490581"/>
    <w:rsid w:val="00491B35"/>
    <w:rsid w:val="004954CA"/>
    <w:rsid w:val="004A12FA"/>
    <w:rsid w:val="004A4C3E"/>
    <w:rsid w:val="004A4D66"/>
    <w:rsid w:val="004A4F53"/>
    <w:rsid w:val="004B000B"/>
    <w:rsid w:val="004B34C0"/>
    <w:rsid w:val="004B65CC"/>
    <w:rsid w:val="004C106F"/>
    <w:rsid w:val="004C1D20"/>
    <w:rsid w:val="004C5114"/>
    <w:rsid w:val="004D09F6"/>
    <w:rsid w:val="004D33F2"/>
    <w:rsid w:val="004D46CA"/>
    <w:rsid w:val="004D4907"/>
    <w:rsid w:val="004D5C6E"/>
    <w:rsid w:val="004E7FF9"/>
    <w:rsid w:val="004F54AC"/>
    <w:rsid w:val="004F73D3"/>
    <w:rsid w:val="004F7E4B"/>
    <w:rsid w:val="005000AB"/>
    <w:rsid w:val="0050177F"/>
    <w:rsid w:val="00501D3E"/>
    <w:rsid w:val="0051188A"/>
    <w:rsid w:val="00512052"/>
    <w:rsid w:val="00514BAB"/>
    <w:rsid w:val="00514E83"/>
    <w:rsid w:val="00523A6E"/>
    <w:rsid w:val="00524E24"/>
    <w:rsid w:val="00527C5D"/>
    <w:rsid w:val="005350EA"/>
    <w:rsid w:val="00536EDD"/>
    <w:rsid w:val="00541950"/>
    <w:rsid w:val="00543987"/>
    <w:rsid w:val="005457FE"/>
    <w:rsid w:val="0055001F"/>
    <w:rsid w:val="0055134B"/>
    <w:rsid w:val="00552188"/>
    <w:rsid w:val="0055264A"/>
    <w:rsid w:val="0055348F"/>
    <w:rsid w:val="00560880"/>
    <w:rsid w:val="005860AC"/>
    <w:rsid w:val="00595ED4"/>
    <w:rsid w:val="00596306"/>
    <w:rsid w:val="00597633"/>
    <w:rsid w:val="005A1C5A"/>
    <w:rsid w:val="005A2824"/>
    <w:rsid w:val="005A2ACA"/>
    <w:rsid w:val="005B00D9"/>
    <w:rsid w:val="005B34FD"/>
    <w:rsid w:val="005C597A"/>
    <w:rsid w:val="005D216D"/>
    <w:rsid w:val="005E06F3"/>
    <w:rsid w:val="005E0F2E"/>
    <w:rsid w:val="005E122F"/>
    <w:rsid w:val="005E16FF"/>
    <w:rsid w:val="005E3755"/>
    <w:rsid w:val="005E56CA"/>
    <w:rsid w:val="005F2D9D"/>
    <w:rsid w:val="005F4356"/>
    <w:rsid w:val="005F6523"/>
    <w:rsid w:val="005F66D3"/>
    <w:rsid w:val="005F716F"/>
    <w:rsid w:val="006001FD"/>
    <w:rsid w:val="00601C14"/>
    <w:rsid w:val="00601EB5"/>
    <w:rsid w:val="00607743"/>
    <w:rsid w:val="0061291D"/>
    <w:rsid w:val="0061344C"/>
    <w:rsid w:val="0061383C"/>
    <w:rsid w:val="00620E3B"/>
    <w:rsid w:val="00622F4A"/>
    <w:rsid w:val="00624D32"/>
    <w:rsid w:val="00627BDA"/>
    <w:rsid w:val="00630940"/>
    <w:rsid w:val="006315AF"/>
    <w:rsid w:val="006340F1"/>
    <w:rsid w:val="006341AF"/>
    <w:rsid w:val="00634374"/>
    <w:rsid w:val="00640CC0"/>
    <w:rsid w:val="0064231D"/>
    <w:rsid w:val="00644298"/>
    <w:rsid w:val="00644383"/>
    <w:rsid w:val="006511E1"/>
    <w:rsid w:val="00652930"/>
    <w:rsid w:val="00654D1C"/>
    <w:rsid w:val="00655202"/>
    <w:rsid w:val="00655F74"/>
    <w:rsid w:val="00656E29"/>
    <w:rsid w:val="006600E8"/>
    <w:rsid w:val="006614F8"/>
    <w:rsid w:val="00661B0B"/>
    <w:rsid w:val="00670850"/>
    <w:rsid w:val="00680B32"/>
    <w:rsid w:val="0068146B"/>
    <w:rsid w:val="0068353E"/>
    <w:rsid w:val="00686C7C"/>
    <w:rsid w:val="00686CA1"/>
    <w:rsid w:val="00690088"/>
    <w:rsid w:val="00692ABB"/>
    <w:rsid w:val="00693C7D"/>
    <w:rsid w:val="00694613"/>
    <w:rsid w:val="00696DD5"/>
    <w:rsid w:val="00697ED4"/>
    <w:rsid w:val="006A67FD"/>
    <w:rsid w:val="006A7CC9"/>
    <w:rsid w:val="006B504A"/>
    <w:rsid w:val="006B64FC"/>
    <w:rsid w:val="006B6A5E"/>
    <w:rsid w:val="006B7308"/>
    <w:rsid w:val="006C21BD"/>
    <w:rsid w:val="006C2D27"/>
    <w:rsid w:val="006C31FB"/>
    <w:rsid w:val="006C650A"/>
    <w:rsid w:val="006D00EF"/>
    <w:rsid w:val="006D02CF"/>
    <w:rsid w:val="006D294E"/>
    <w:rsid w:val="006D2F4E"/>
    <w:rsid w:val="006D36A8"/>
    <w:rsid w:val="006D3B77"/>
    <w:rsid w:val="006D5D2A"/>
    <w:rsid w:val="006D69D9"/>
    <w:rsid w:val="006D7548"/>
    <w:rsid w:val="006E5125"/>
    <w:rsid w:val="006E54B1"/>
    <w:rsid w:val="006E7C56"/>
    <w:rsid w:val="006E7E87"/>
    <w:rsid w:val="006F6D0B"/>
    <w:rsid w:val="00707EBD"/>
    <w:rsid w:val="007157A4"/>
    <w:rsid w:val="00717084"/>
    <w:rsid w:val="007279AC"/>
    <w:rsid w:val="00730325"/>
    <w:rsid w:val="0075434E"/>
    <w:rsid w:val="0076146B"/>
    <w:rsid w:val="007665C4"/>
    <w:rsid w:val="00770F46"/>
    <w:rsid w:val="007711CC"/>
    <w:rsid w:val="007726E2"/>
    <w:rsid w:val="007736A6"/>
    <w:rsid w:val="00781CE3"/>
    <w:rsid w:val="00783B0E"/>
    <w:rsid w:val="007846DF"/>
    <w:rsid w:val="00784BDB"/>
    <w:rsid w:val="0079502F"/>
    <w:rsid w:val="00797F4F"/>
    <w:rsid w:val="007A02FB"/>
    <w:rsid w:val="007A1890"/>
    <w:rsid w:val="007A3746"/>
    <w:rsid w:val="007C1039"/>
    <w:rsid w:val="007C4E0A"/>
    <w:rsid w:val="007C711F"/>
    <w:rsid w:val="007D09AE"/>
    <w:rsid w:val="007D1F34"/>
    <w:rsid w:val="007D4BA3"/>
    <w:rsid w:val="007D50CD"/>
    <w:rsid w:val="007D7956"/>
    <w:rsid w:val="007E0D45"/>
    <w:rsid w:val="007E28AC"/>
    <w:rsid w:val="007E2CC3"/>
    <w:rsid w:val="007E376E"/>
    <w:rsid w:val="007E73DC"/>
    <w:rsid w:val="007F131A"/>
    <w:rsid w:val="007F187C"/>
    <w:rsid w:val="007F267E"/>
    <w:rsid w:val="007F29A6"/>
    <w:rsid w:val="007F5704"/>
    <w:rsid w:val="007F61FF"/>
    <w:rsid w:val="008056B0"/>
    <w:rsid w:val="00807D55"/>
    <w:rsid w:val="00807E18"/>
    <w:rsid w:val="00810AC1"/>
    <w:rsid w:val="008118A9"/>
    <w:rsid w:val="00820D15"/>
    <w:rsid w:val="00821968"/>
    <w:rsid w:val="00827712"/>
    <w:rsid w:val="00830D73"/>
    <w:rsid w:val="00841EF1"/>
    <w:rsid w:val="00843603"/>
    <w:rsid w:val="00844480"/>
    <w:rsid w:val="008445D1"/>
    <w:rsid w:val="00846C0C"/>
    <w:rsid w:val="008534ED"/>
    <w:rsid w:val="00857934"/>
    <w:rsid w:val="00860886"/>
    <w:rsid w:val="008665F1"/>
    <w:rsid w:val="00866FE5"/>
    <w:rsid w:val="0087000D"/>
    <w:rsid w:val="00876EDB"/>
    <w:rsid w:val="0088140C"/>
    <w:rsid w:val="0088464A"/>
    <w:rsid w:val="00884990"/>
    <w:rsid w:val="00886833"/>
    <w:rsid w:val="00893486"/>
    <w:rsid w:val="008959E8"/>
    <w:rsid w:val="008A2BE4"/>
    <w:rsid w:val="008A387B"/>
    <w:rsid w:val="008A4526"/>
    <w:rsid w:val="008A55A1"/>
    <w:rsid w:val="008A7495"/>
    <w:rsid w:val="008B2B41"/>
    <w:rsid w:val="008C4079"/>
    <w:rsid w:val="008C5EB3"/>
    <w:rsid w:val="008D2D35"/>
    <w:rsid w:val="008E2BC8"/>
    <w:rsid w:val="008E2D9F"/>
    <w:rsid w:val="008E3DD2"/>
    <w:rsid w:val="008E467F"/>
    <w:rsid w:val="008E776C"/>
    <w:rsid w:val="00904A98"/>
    <w:rsid w:val="009052C3"/>
    <w:rsid w:val="009079D7"/>
    <w:rsid w:val="0091344A"/>
    <w:rsid w:val="00915ED8"/>
    <w:rsid w:val="00920EEC"/>
    <w:rsid w:val="00923529"/>
    <w:rsid w:val="009257CC"/>
    <w:rsid w:val="00927D22"/>
    <w:rsid w:val="009333B4"/>
    <w:rsid w:val="0093364C"/>
    <w:rsid w:val="00937DAC"/>
    <w:rsid w:val="00942299"/>
    <w:rsid w:val="0094367F"/>
    <w:rsid w:val="00946E11"/>
    <w:rsid w:val="009517B4"/>
    <w:rsid w:val="00951F72"/>
    <w:rsid w:val="00953118"/>
    <w:rsid w:val="00953E71"/>
    <w:rsid w:val="00953EEA"/>
    <w:rsid w:val="0095400E"/>
    <w:rsid w:val="00957BE2"/>
    <w:rsid w:val="00960FC2"/>
    <w:rsid w:val="009614E2"/>
    <w:rsid w:val="00971246"/>
    <w:rsid w:val="009727FD"/>
    <w:rsid w:val="009728E7"/>
    <w:rsid w:val="00972CB6"/>
    <w:rsid w:val="0098029A"/>
    <w:rsid w:val="00984A1B"/>
    <w:rsid w:val="00994428"/>
    <w:rsid w:val="00995DB6"/>
    <w:rsid w:val="009A1AA8"/>
    <w:rsid w:val="009A3635"/>
    <w:rsid w:val="009A3E8C"/>
    <w:rsid w:val="009B7292"/>
    <w:rsid w:val="009C0BFA"/>
    <w:rsid w:val="009C1809"/>
    <w:rsid w:val="009C21DE"/>
    <w:rsid w:val="009D137D"/>
    <w:rsid w:val="009D627C"/>
    <w:rsid w:val="009D6A9E"/>
    <w:rsid w:val="009E7638"/>
    <w:rsid w:val="00A004C7"/>
    <w:rsid w:val="00A03BC5"/>
    <w:rsid w:val="00A03D00"/>
    <w:rsid w:val="00A07CC6"/>
    <w:rsid w:val="00A16895"/>
    <w:rsid w:val="00A31A0B"/>
    <w:rsid w:val="00A31CAA"/>
    <w:rsid w:val="00A33641"/>
    <w:rsid w:val="00A33822"/>
    <w:rsid w:val="00A40991"/>
    <w:rsid w:val="00A46C19"/>
    <w:rsid w:val="00A4752D"/>
    <w:rsid w:val="00A51098"/>
    <w:rsid w:val="00A5195C"/>
    <w:rsid w:val="00A51969"/>
    <w:rsid w:val="00A52400"/>
    <w:rsid w:val="00A52E16"/>
    <w:rsid w:val="00A60267"/>
    <w:rsid w:val="00A603DE"/>
    <w:rsid w:val="00A60DFB"/>
    <w:rsid w:val="00A62E1A"/>
    <w:rsid w:val="00A653E0"/>
    <w:rsid w:val="00A673F2"/>
    <w:rsid w:val="00A83802"/>
    <w:rsid w:val="00A87998"/>
    <w:rsid w:val="00A905E1"/>
    <w:rsid w:val="00A91B43"/>
    <w:rsid w:val="00A95F91"/>
    <w:rsid w:val="00AA0734"/>
    <w:rsid w:val="00AA33D9"/>
    <w:rsid w:val="00AB051D"/>
    <w:rsid w:val="00AB097C"/>
    <w:rsid w:val="00AC150D"/>
    <w:rsid w:val="00AC3D61"/>
    <w:rsid w:val="00AC57AF"/>
    <w:rsid w:val="00AC5BBA"/>
    <w:rsid w:val="00AD2CB0"/>
    <w:rsid w:val="00AD42FD"/>
    <w:rsid w:val="00AD49DF"/>
    <w:rsid w:val="00AD4A70"/>
    <w:rsid w:val="00AD658B"/>
    <w:rsid w:val="00AE1338"/>
    <w:rsid w:val="00AE187C"/>
    <w:rsid w:val="00AE4A73"/>
    <w:rsid w:val="00AE646E"/>
    <w:rsid w:val="00AF6B24"/>
    <w:rsid w:val="00B01BF6"/>
    <w:rsid w:val="00B0283C"/>
    <w:rsid w:val="00B04D4C"/>
    <w:rsid w:val="00B11CBF"/>
    <w:rsid w:val="00B158ED"/>
    <w:rsid w:val="00B170CF"/>
    <w:rsid w:val="00B32331"/>
    <w:rsid w:val="00B33587"/>
    <w:rsid w:val="00B3731B"/>
    <w:rsid w:val="00B40F48"/>
    <w:rsid w:val="00B425EB"/>
    <w:rsid w:val="00B50BA0"/>
    <w:rsid w:val="00B5260E"/>
    <w:rsid w:val="00B532B4"/>
    <w:rsid w:val="00B53B28"/>
    <w:rsid w:val="00B54705"/>
    <w:rsid w:val="00B57140"/>
    <w:rsid w:val="00B73032"/>
    <w:rsid w:val="00B85BDC"/>
    <w:rsid w:val="00B91BB7"/>
    <w:rsid w:val="00B965FD"/>
    <w:rsid w:val="00BA0124"/>
    <w:rsid w:val="00BA2A5B"/>
    <w:rsid w:val="00BA64FD"/>
    <w:rsid w:val="00BB04AA"/>
    <w:rsid w:val="00BB3D03"/>
    <w:rsid w:val="00BB743B"/>
    <w:rsid w:val="00BC0C70"/>
    <w:rsid w:val="00BC780A"/>
    <w:rsid w:val="00BD01BC"/>
    <w:rsid w:val="00BD1F1A"/>
    <w:rsid w:val="00BE2951"/>
    <w:rsid w:val="00BE55AE"/>
    <w:rsid w:val="00BE61C2"/>
    <w:rsid w:val="00BF72B7"/>
    <w:rsid w:val="00C011A3"/>
    <w:rsid w:val="00C06924"/>
    <w:rsid w:val="00C072F1"/>
    <w:rsid w:val="00C109A5"/>
    <w:rsid w:val="00C13870"/>
    <w:rsid w:val="00C16EC0"/>
    <w:rsid w:val="00C22F03"/>
    <w:rsid w:val="00C25035"/>
    <w:rsid w:val="00C26BFE"/>
    <w:rsid w:val="00C27350"/>
    <w:rsid w:val="00C30283"/>
    <w:rsid w:val="00C36C91"/>
    <w:rsid w:val="00C37B1C"/>
    <w:rsid w:val="00C37EBE"/>
    <w:rsid w:val="00C40B55"/>
    <w:rsid w:val="00C521B4"/>
    <w:rsid w:val="00C52F67"/>
    <w:rsid w:val="00C537AC"/>
    <w:rsid w:val="00C60735"/>
    <w:rsid w:val="00C6415C"/>
    <w:rsid w:val="00C64626"/>
    <w:rsid w:val="00C66B8D"/>
    <w:rsid w:val="00C6707D"/>
    <w:rsid w:val="00C7145A"/>
    <w:rsid w:val="00C722CD"/>
    <w:rsid w:val="00C751C2"/>
    <w:rsid w:val="00C81802"/>
    <w:rsid w:val="00C81E16"/>
    <w:rsid w:val="00C848B8"/>
    <w:rsid w:val="00C85125"/>
    <w:rsid w:val="00C85D05"/>
    <w:rsid w:val="00C90E4B"/>
    <w:rsid w:val="00C94E71"/>
    <w:rsid w:val="00C9579E"/>
    <w:rsid w:val="00C97986"/>
    <w:rsid w:val="00CA3294"/>
    <w:rsid w:val="00CA5C33"/>
    <w:rsid w:val="00CB4D71"/>
    <w:rsid w:val="00CC5A88"/>
    <w:rsid w:val="00CC678D"/>
    <w:rsid w:val="00CC7A60"/>
    <w:rsid w:val="00CD1F35"/>
    <w:rsid w:val="00CD3896"/>
    <w:rsid w:val="00CD7B0B"/>
    <w:rsid w:val="00CE07A9"/>
    <w:rsid w:val="00CE2C79"/>
    <w:rsid w:val="00CE38D2"/>
    <w:rsid w:val="00CF70A5"/>
    <w:rsid w:val="00D02382"/>
    <w:rsid w:val="00D119D0"/>
    <w:rsid w:val="00D15AA5"/>
    <w:rsid w:val="00D2143E"/>
    <w:rsid w:val="00D21FF5"/>
    <w:rsid w:val="00D22049"/>
    <w:rsid w:val="00D22CE5"/>
    <w:rsid w:val="00D25E1D"/>
    <w:rsid w:val="00D261C0"/>
    <w:rsid w:val="00D261F9"/>
    <w:rsid w:val="00D262AC"/>
    <w:rsid w:val="00D3025A"/>
    <w:rsid w:val="00D3453C"/>
    <w:rsid w:val="00D36C92"/>
    <w:rsid w:val="00D373AB"/>
    <w:rsid w:val="00D40DD6"/>
    <w:rsid w:val="00D47959"/>
    <w:rsid w:val="00D507DE"/>
    <w:rsid w:val="00D569C1"/>
    <w:rsid w:val="00D623FB"/>
    <w:rsid w:val="00D6611C"/>
    <w:rsid w:val="00D70BA2"/>
    <w:rsid w:val="00D7113D"/>
    <w:rsid w:val="00D825B9"/>
    <w:rsid w:val="00D8507B"/>
    <w:rsid w:val="00D8623D"/>
    <w:rsid w:val="00D86596"/>
    <w:rsid w:val="00D91CCC"/>
    <w:rsid w:val="00D94CE7"/>
    <w:rsid w:val="00D95C46"/>
    <w:rsid w:val="00D96FFC"/>
    <w:rsid w:val="00D97111"/>
    <w:rsid w:val="00D97838"/>
    <w:rsid w:val="00DA1360"/>
    <w:rsid w:val="00DA6BE7"/>
    <w:rsid w:val="00DA7442"/>
    <w:rsid w:val="00DB07BF"/>
    <w:rsid w:val="00DB2E71"/>
    <w:rsid w:val="00DB6BF1"/>
    <w:rsid w:val="00DC1D29"/>
    <w:rsid w:val="00DD1FA1"/>
    <w:rsid w:val="00DD6F51"/>
    <w:rsid w:val="00DE12B6"/>
    <w:rsid w:val="00DE1E2F"/>
    <w:rsid w:val="00DE362B"/>
    <w:rsid w:val="00DE6DFD"/>
    <w:rsid w:val="00DE770B"/>
    <w:rsid w:val="00DE7F4B"/>
    <w:rsid w:val="00DF0B01"/>
    <w:rsid w:val="00DF0F62"/>
    <w:rsid w:val="00DF1A89"/>
    <w:rsid w:val="00DF1FB0"/>
    <w:rsid w:val="00DF3A4A"/>
    <w:rsid w:val="00E02EA5"/>
    <w:rsid w:val="00E10DC3"/>
    <w:rsid w:val="00E11EA5"/>
    <w:rsid w:val="00E200BF"/>
    <w:rsid w:val="00E21EAA"/>
    <w:rsid w:val="00E2327D"/>
    <w:rsid w:val="00E27201"/>
    <w:rsid w:val="00E312FC"/>
    <w:rsid w:val="00E32E49"/>
    <w:rsid w:val="00E346C9"/>
    <w:rsid w:val="00E36D82"/>
    <w:rsid w:val="00E36FB0"/>
    <w:rsid w:val="00E37419"/>
    <w:rsid w:val="00E40E88"/>
    <w:rsid w:val="00E431DA"/>
    <w:rsid w:val="00E43276"/>
    <w:rsid w:val="00E44859"/>
    <w:rsid w:val="00E44948"/>
    <w:rsid w:val="00E45A37"/>
    <w:rsid w:val="00E5378F"/>
    <w:rsid w:val="00E549C6"/>
    <w:rsid w:val="00E55633"/>
    <w:rsid w:val="00E56AF5"/>
    <w:rsid w:val="00E664D6"/>
    <w:rsid w:val="00E7049B"/>
    <w:rsid w:val="00E71D92"/>
    <w:rsid w:val="00E75803"/>
    <w:rsid w:val="00E7650C"/>
    <w:rsid w:val="00E83358"/>
    <w:rsid w:val="00E834E5"/>
    <w:rsid w:val="00E84230"/>
    <w:rsid w:val="00E94C66"/>
    <w:rsid w:val="00E96ED1"/>
    <w:rsid w:val="00EB1321"/>
    <w:rsid w:val="00EB66FC"/>
    <w:rsid w:val="00EC0FA8"/>
    <w:rsid w:val="00EC1563"/>
    <w:rsid w:val="00EC1B16"/>
    <w:rsid w:val="00EC4C78"/>
    <w:rsid w:val="00EC5EB5"/>
    <w:rsid w:val="00EC6420"/>
    <w:rsid w:val="00ED6579"/>
    <w:rsid w:val="00EE3D2C"/>
    <w:rsid w:val="00EE4074"/>
    <w:rsid w:val="00EE4078"/>
    <w:rsid w:val="00EE5E08"/>
    <w:rsid w:val="00EF2150"/>
    <w:rsid w:val="00EF4766"/>
    <w:rsid w:val="00F018A8"/>
    <w:rsid w:val="00F103EE"/>
    <w:rsid w:val="00F124A0"/>
    <w:rsid w:val="00F15FF0"/>
    <w:rsid w:val="00F24591"/>
    <w:rsid w:val="00F3198D"/>
    <w:rsid w:val="00F40673"/>
    <w:rsid w:val="00F5175A"/>
    <w:rsid w:val="00F540BD"/>
    <w:rsid w:val="00F5539C"/>
    <w:rsid w:val="00F72B7B"/>
    <w:rsid w:val="00F751F7"/>
    <w:rsid w:val="00F76353"/>
    <w:rsid w:val="00F82AB6"/>
    <w:rsid w:val="00F859B5"/>
    <w:rsid w:val="00F90485"/>
    <w:rsid w:val="00F90637"/>
    <w:rsid w:val="00F916DF"/>
    <w:rsid w:val="00F953AF"/>
    <w:rsid w:val="00F96868"/>
    <w:rsid w:val="00FA220C"/>
    <w:rsid w:val="00FA746E"/>
    <w:rsid w:val="00FB07B7"/>
    <w:rsid w:val="00FB316C"/>
    <w:rsid w:val="00FB3682"/>
    <w:rsid w:val="00FC0CEE"/>
    <w:rsid w:val="00FC3813"/>
    <w:rsid w:val="00FC5570"/>
    <w:rsid w:val="00FC701D"/>
    <w:rsid w:val="00FD1A5F"/>
    <w:rsid w:val="00FD3B66"/>
    <w:rsid w:val="00FD4901"/>
    <w:rsid w:val="00FD6415"/>
    <w:rsid w:val="00FE202B"/>
    <w:rsid w:val="00FE3CD7"/>
    <w:rsid w:val="00FF0D31"/>
    <w:rsid w:val="00FF23B8"/>
    <w:rsid w:val="00FF3DE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E349B"/>
  <w15:chartTrackingRefBased/>
  <w15:docId w15:val="{02CEC0EC-FA18-2E44-9EF0-143B13631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6B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96B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6B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6B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6B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6B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6B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6B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6B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6B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96B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6B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6B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6B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6B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6B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6B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6B5F"/>
    <w:rPr>
      <w:rFonts w:eastAsiaTheme="majorEastAsia" w:cstheme="majorBidi"/>
      <w:color w:val="272727" w:themeColor="text1" w:themeTint="D8"/>
    </w:rPr>
  </w:style>
  <w:style w:type="paragraph" w:styleId="Title">
    <w:name w:val="Title"/>
    <w:basedOn w:val="Normal"/>
    <w:next w:val="Normal"/>
    <w:link w:val="TitleChar"/>
    <w:uiPriority w:val="10"/>
    <w:qFormat/>
    <w:rsid w:val="00396B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6B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6B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6B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6B5F"/>
    <w:pPr>
      <w:spacing w:before="160"/>
      <w:jc w:val="center"/>
    </w:pPr>
    <w:rPr>
      <w:i/>
      <w:iCs/>
      <w:color w:val="404040" w:themeColor="text1" w:themeTint="BF"/>
    </w:rPr>
  </w:style>
  <w:style w:type="character" w:customStyle="1" w:styleId="QuoteChar">
    <w:name w:val="Quote Char"/>
    <w:basedOn w:val="DefaultParagraphFont"/>
    <w:link w:val="Quote"/>
    <w:uiPriority w:val="29"/>
    <w:rsid w:val="00396B5F"/>
    <w:rPr>
      <w:i/>
      <w:iCs/>
      <w:color w:val="404040" w:themeColor="text1" w:themeTint="BF"/>
    </w:rPr>
  </w:style>
  <w:style w:type="paragraph" w:styleId="ListParagraph">
    <w:name w:val="List Paragraph"/>
    <w:basedOn w:val="Normal"/>
    <w:uiPriority w:val="34"/>
    <w:qFormat/>
    <w:rsid w:val="00396B5F"/>
    <w:pPr>
      <w:ind w:left="720"/>
      <w:contextualSpacing/>
    </w:pPr>
  </w:style>
  <w:style w:type="character" w:styleId="IntenseEmphasis">
    <w:name w:val="Intense Emphasis"/>
    <w:basedOn w:val="DefaultParagraphFont"/>
    <w:uiPriority w:val="21"/>
    <w:qFormat/>
    <w:rsid w:val="00396B5F"/>
    <w:rPr>
      <w:i/>
      <w:iCs/>
      <w:color w:val="0F4761" w:themeColor="accent1" w:themeShade="BF"/>
    </w:rPr>
  </w:style>
  <w:style w:type="paragraph" w:styleId="IntenseQuote">
    <w:name w:val="Intense Quote"/>
    <w:basedOn w:val="Normal"/>
    <w:next w:val="Normal"/>
    <w:link w:val="IntenseQuoteChar"/>
    <w:uiPriority w:val="30"/>
    <w:qFormat/>
    <w:rsid w:val="00396B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6B5F"/>
    <w:rPr>
      <w:i/>
      <w:iCs/>
      <w:color w:val="0F4761" w:themeColor="accent1" w:themeShade="BF"/>
    </w:rPr>
  </w:style>
  <w:style w:type="character" w:styleId="IntenseReference">
    <w:name w:val="Intense Reference"/>
    <w:basedOn w:val="DefaultParagraphFont"/>
    <w:uiPriority w:val="32"/>
    <w:qFormat/>
    <w:rsid w:val="00396B5F"/>
    <w:rPr>
      <w:b/>
      <w:bCs/>
      <w:smallCaps/>
      <w:color w:val="0F4761" w:themeColor="accent1" w:themeShade="BF"/>
      <w:spacing w:val="5"/>
    </w:rPr>
  </w:style>
  <w:style w:type="character" w:styleId="Hyperlink">
    <w:name w:val="Hyperlink"/>
    <w:basedOn w:val="DefaultParagraphFont"/>
    <w:uiPriority w:val="99"/>
    <w:unhideWhenUsed/>
    <w:rsid w:val="00396B5F"/>
    <w:rPr>
      <w:color w:val="467886" w:themeColor="hyperlink"/>
      <w:u w:val="single"/>
    </w:rPr>
  </w:style>
  <w:style w:type="character" w:styleId="UnresolvedMention">
    <w:name w:val="Unresolved Mention"/>
    <w:basedOn w:val="DefaultParagraphFont"/>
    <w:uiPriority w:val="99"/>
    <w:semiHidden/>
    <w:unhideWhenUsed/>
    <w:rsid w:val="00396B5F"/>
    <w:rPr>
      <w:color w:val="605E5C"/>
      <w:shd w:val="clear" w:color="auto" w:fill="E1DFDD"/>
    </w:rPr>
  </w:style>
  <w:style w:type="table" w:styleId="TableGrid">
    <w:name w:val="Table Grid"/>
    <w:basedOn w:val="TableNormal"/>
    <w:uiPriority w:val="39"/>
    <w:rsid w:val="008849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13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1338"/>
  </w:style>
  <w:style w:type="paragraph" w:styleId="Footer">
    <w:name w:val="footer"/>
    <w:basedOn w:val="Normal"/>
    <w:link w:val="FooterChar"/>
    <w:uiPriority w:val="99"/>
    <w:unhideWhenUsed/>
    <w:rsid w:val="00AE13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1338"/>
  </w:style>
  <w:style w:type="character" w:styleId="FollowedHyperlink">
    <w:name w:val="FollowedHyperlink"/>
    <w:basedOn w:val="DefaultParagraphFont"/>
    <w:uiPriority w:val="99"/>
    <w:semiHidden/>
    <w:unhideWhenUsed/>
    <w:rsid w:val="00C072F1"/>
    <w:rPr>
      <w:color w:val="96607D" w:themeColor="followedHyperlink"/>
      <w:u w:val="single"/>
    </w:rPr>
  </w:style>
  <w:style w:type="paragraph" w:styleId="Revision">
    <w:name w:val="Revision"/>
    <w:hidden/>
    <w:uiPriority w:val="99"/>
    <w:semiHidden/>
    <w:rsid w:val="00F3198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18719">
      <w:bodyDiv w:val="1"/>
      <w:marLeft w:val="0"/>
      <w:marRight w:val="0"/>
      <w:marTop w:val="0"/>
      <w:marBottom w:val="0"/>
      <w:divBdr>
        <w:top w:val="none" w:sz="0" w:space="0" w:color="auto"/>
        <w:left w:val="none" w:sz="0" w:space="0" w:color="auto"/>
        <w:bottom w:val="none" w:sz="0" w:space="0" w:color="auto"/>
        <w:right w:val="none" w:sz="0" w:space="0" w:color="auto"/>
      </w:divBdr>
    </w:div>
    <w:div w:id="511145583">
      <w:bodyDiv w:val="1"/>
      <w:marLeft w:val="0"/>
      <w:marRight w:val="0"/>
      <w:marTop w:val="0"/>
      <w:marBottom w:val="0"/>
      <w:divBdr>
        <w:top w:val="none" w:sz="0" w:space="0" w:color="auto"/>
        <w:left w:val="none" w:sz="0" w:space="0" w:color="auto"/>
        <w:bottom w:val="none" w:sz="0" w:space="0" w:color="auto"/>
        <w:right w:val="none" w:sz="0" w:space="0" w:color="auto"/>
      </w:divBdr>
      <w:divsChild>
        <w:div w:id="226574515">
          <w:marLeft w:val="0"/>
          <w:marRight w:val="0"/>
          <w:marTop w:val="0"/>
          <w:marBottom w:val="0"/>
          <w:divBdr>
            <w:top w:val="none" w:sz="0" w:space="0" w:color="auto"/>
            <w:left w:val="none" w:sz="0" w:space="0" w:color="auto"/>
            <w:bottom w:val="none" w:sz="0" w:space="0" w:color="auto"/>
            <w:right w:val="none" w:sz="0" w:space="0" w:color="auto"/>
          </w:divBdr>
        </w:div>
        <w:div w:id="1131168341">
          <w:marLeft w:val="0"/>
          <w:marRight w:val="0"/>
          <w:marTop w:val="0"/>
          <w:marBottom w:val="0"/>
          <w:divBdr>
            <w:top w:val="none" w:sz="0" w:space="0" w:color="auto"/>
            <w:left w:val="none" w:sz="0" w:space="0" w:color="auto"/>
            <w:bottom w:val="none" w:sz="0" w:space="0" w:color="auto"/>
            <w:right w:val="none" w:sz="0" w:space="0" w:color="auto"/>
          </w:divBdr>
        </w:div>
        <w:div w:id="601649090">
          <w:marLeft w:val="0"/>
          <w:marRight w:val="0"/>
          <w:marTop w:val="0"/>
          <w:marBottom w:val="0"/>
          <w:divBdr>
            <w:top w:val="none" w:sz="0" w:space="0" w:color="auto"/>
            <w:left w:val="none" w:sz="0" w:space="0" w:color="auto"/>
            <w:bottom w:val="none" w:sz="0" w:space="0" w:color="auto"/>
            <w:right w:val="none" w:sz="0" w:space="0" w:color="auto"/>
          </w:divBdr>
          <w:divsChild>
            <w:div w:id="2064205893">
              <w:marLeft w:val="0"/>
              <w:marRight w:val="0"/>
              <w:marTop w:val="0"/>
              <w:marBottom w:val="0"/>
              <w:divBdr>
                <w:top w:val="none" w:sz="0" w:space="0" w:color="auto"/>
                <w:left w:val="none" w:sz="0" w:space="0" w:color="auto"/>
                <w:bottom w:val="none" w:sz="0" w:space="0" w:color="auto"/>
                <w:right w:val="none" w:sz="0" w:space="0" w:color="auto"/>
              </w:divBdr>
              <w:divsChild>
                <w:div w:id="111524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046031">
      <w:bodyDiv w:val="1"/>
      <w:marLeft w:val="0"/>
      <w:marRight w:val="0"/>
      <w:marTop w:val="0"/>
      <w:marBottom w:val="0"/>
      <w:divBdr>
        <w:top w:val="none" w:sz="0" w:space="0" w:color="auto"/>
        <w:left w:val="none" w:sz="0" w:space="0" w:color="auto"/>
        <w:bottom w:val="none" w:sz="0" w:space="0" w:color="auto"/>
        <w:right w:val="none" w:sz="0" w:space="0" w:color="auto"/>
      </w:divBdr>
      <w:divsChild>
        <w:div w:id="1774325710">
          <w:marLeft w:val="0"/>
          <w:marRight w:val="0"/>
          <w:marTop w:val="0"/>
          <w:marBottom w:val="0"/>
          <w:divBdr>
            <w:top w:val="none" w:sz="0" w:space="0" w:color="auto"/>
            <w:left w:val="none" w:sz="0" w:space="0" w:color="auto"/>
            <w:bottom w:val="none" w:sz="0" w:space="0" w:color="auto"/>
            <w:right w:val="none" w:sz="0" w:space="0" w:color="auto"/>
          </w:divBdr>
        </w:div>
        <w:div w:id="1506288523">
          <w:marLeft w:val="0"/>
          <w:marRight w:val="0"/>
          <w:marTop w:val="0"/>
          <w:marBottom w:val="0"/>
          <w:divBdr>
            <w:top w:val="none" w:sz="0" w:space="0" w:color="auto"/>
            <w:left w:val="none" w:sz="0" w:space="0" w:color="auto"/>
            <w:bottom w:val="none" w:sz="0" w:space="0" w:color="auto"/>
            <w:right w:val="none" w:sz="0" w:space="0" w:color="auto"/>
          </w:divBdr>
        </w:div>
        <w:div w:id="765002342">
          <w:marLeft w:val="0"/>
          <w:marRight w:val="0"/>
          <w:marTop w:val="0"/>
          <w:marBottom w:val="0"/>
          <w:divBdr>
            <w:top w:val="none" w:sz="0" w:space="0" w:color="auto"/>
            <w:left w:val="none" w:sz="0" w:space="0" w:color="auto"/>
            <w:bottom w:val="none" w:sz="0" w:space="0" w:color="auto"/>
            <w:right w:val="none" w:sz="0" w:space="0" w:color="auto"/>
          </w:divBdr>
        </w:div>
        <w:div w:id="403527792">
          <w:marLeft w:val="0"/>
          <w:marRight w:val="0"/>
          <w:marTop w:val="0"/>
          <w:marBottom w:val="0"/>
          <w:divBdr>
            <w:top w:val="none" w:sz="0" w:space="0" w:color="auto"/>
            <w:left w:val="none" w:sz="0" w:space="0" w:color="auto"/>
            <w:bottom w:val="none" w:sz="0" w:space="0" w:color="auto"/>
            <w:right w:val="none" w:sz="0" w:space="0" w:color="auto"/>
          </w:divBdr>
        </w:div>
        <w:div w:id="1501041145">
          <w:marLeft w:val="0"/>
          <w:marRight w:val="0"/>
          <w:marTop w:val="0"/>
          <w:marBottom w:val="0"/>
          <w:divBdr>
            <w:top w:val="none" w:sz="0" w:space="0" w:color="auto"/>
            <w:left w:val="none" w:sz="0" w:space="0" w:color="auto"/>
            <w:bottom w:val="none" w:sz="0" w:space="0" w:color="auto"/>
            <w:right w:val="none" w:sz="0" w:space="0" w:color="auto"/>
          </w:divBdr>
        </w:div>
        <w:div w:id="373627693">
          <w:marLeft w:val="0"/>
          <w:marRight w:val="0"/>
          <w:marTop w:val="0"/>
          <w:marBottom w:val="0"/>
          <w:divBdr>
            <w:top w:val="none" w:sz="0" w:space="0" w:color="auto"/>
            <w:left w:val="none" w:sz="0" w:space="0" w:color="auto"/>
            <w:bottom w:val="none" w:sz="0" w:space="0" w:color="auto"/>
            <w:right w:val="none" w:sz="0" w:space="0" w:color="auto"/>
          </w:divBdr>
        </w:div>
        <w:div w:id="465977973">
          <w:marLeft w:val="0"/>
          <w:marRight w:val="0"/>
          <w:marTop w:val="0"/>
          <w:marBottom w:val="0"/>
          <w:divBdr>
            <w:top w:val="none" w:sz="0" w:space="0" w:color="auto"/>
            <w:left w:val="none" w:sz="0" w:space="0" w:color="auto"/>
            <w:bottom w:val="none" w:sz="0" w:space="0" w:color="auto"/>
            <w:right w:val="none" w:sz="0" w:space="0" w:color="auto"/>
          </w:divBdr>
        </w:div>
        <w:div w:id="353455975">
          <w:marLeft w:val="0"/>
          <w:marRight w:val="0"/>
          <w:marTop w:val="0"/>
          <w:marBottom w:val="0"/>
          <w:divBdr>
            <w:top w:val="none" w:sz="0" w:space="0" w:color="auto"/>
            <w:left w:val="none" w:sz="0" w:space="0" w:color="auto"/>
            <w:bottom w:val="none" w:sz="0" w:space="0" w:color="auto"/>
            <w:right w:val="none" w:sz="0" w:space="0" w:color="auto"/>
          </w:divBdr>
        </w:div>
        <w:div w:id="1274365954">
          <w:marLeft w:val="0"/>
          <w:marRight w:val="0"/>
          <w:marTop w:val="0"/>
          <w:marBottom w:val="0"/>
          <w:divBdr>
            <w:top w:val="none" w:sz="0" w:space="0" w:color="auto"/>
            <w:left w:val="none" w:sz="0" w:space="0" w:color="auto"/>
            <w:bottom w:val="none" w:sz="0" w:space="0" w:color="auto"/>
            <w:right w:val="none" w:sz="0" w:space="0" w:color="auto"/>
          </w:divBdr>
        </w:div>
        <w:div w:id="54820728">
          <w:marLeft w:val="0"/>
          <w:marRight w:val="0"/>
          <w:marTop w:val="0"/>
          <w:marBottom w:val="0"/>
          <w:divBdr>
            <w:top w:val="none" w:sz="0" w:space="0" w:color="auto"/>
            <w:left w:val="none" w:sz="0" w:space="0" w:color="auto"/>
            <w:bottom w:val="none" w:sz="0" w:space="0" w:color="auto"/>
            <w:right w:val="none" w:sz="0" w:space="0" w:color="auto"/>
          </w:divBdr>
        </w:div>
        <w:div w:id="1407190015">
          <w:marLeft w:val="0"/>
          <w:marRight w:val="0"/>
          <w:marTop w:val="0"/>
          <w:marBottom w:val="0"/>
          <w:divBdr>
            <w:top w:val="none" w:sz="0" w:space="0" w:color="auto"/>
            <w:left w:val="none" w:sz="0" w:space="0" w:color="auto"/>
            <w:bottom w:val="none" w:sz="0" w:space="0" w:color="auto"/>
            <w:right w:val="none" w:sz="0" w:space="0" w:color="auto"/>
          </w:divBdr>
        </w:div>
        <w:div w:id="1247302028">
          <w:marLeft w:val="0"/>
          <w:marRight w:val="0"/>
          <w:marTop w:val="0"/>
          <w:marBottom w:val="0"/>
          <w:divBdr>
            <w:top w:val="none" w:sz="0" w:space="0" w:color="auto"/>
            <w:left w:val="none" w:sz="0" w:space="0" w:color="auto"/>
            <w:bottom w:val="none" w:sz="0" w:space="0" w:color="auto"/>
            <w:right w:val="none" w:sz="0" w:space="0" w:color="auto"/>
          </w:divBdr>
        </w:div>
        <w:div w:id="129979229">
          <w:marLeft w:val="0"/>
          <w:marRight w:val="0"/>
          <w:marTop w:val="0"/>
          <w:marBottom w:val="0"/>
          <w:divBdr>
            <w:top w:val="none" w:sz="0" w:space="0" w:color="auto"/>
            <w:left w:val="none" w:sz="0" w:space="0" w:color="auto"/>
            <w:bottom w:val="none" w:sz="0" w:space="0" w:color="auto"/>
            <w:right w:val="none" w:sz="0" w:space="0" w:color="auto"/>
          </w:divBdr>
        </w:div>
        <w:div w:id="1208759162">
          <w:marLeft w:val="0"/>
          <w:marRight w:val="0"/>
          <w:marTop w:val="0"/>
          <w:marBottom w:val="0"/>
          <w:divBdr>
            <w:top w:val="none" w:sz="0" w:space="0" w:color="auto"/>
            <w:left w:val="none" w:sz="0" w:space="0" w:color="auto"/>
            <w:bottom w:val="none" w:sz="0" w:space="0" w:color="auto"/>
            <w:right w:val="none" w:sz="0" w:space="0" w:color="auto"/>
          </w:divBdr>
        </w:div>
        <w:div w:id="1852646068">
          <w:marLeft w:val="0"/>
          <w:marRight w:val="0"/>
          <w:marTop w:val="0"/>
          <w:marBottom w:val="0"/>
          <w:divBdr>
            <w:top w:val="none" w:sz="0" w:space="0" w:color="auto"/>
            <w:left w:val="none" w:sz="0" w:space="0" w:color="auto"/>
            <w:bottom w:val="none" w:sz="0" w:space="0" w:color="auto"/>
            <w:right w:val="none" w:sz="0" w:space="0" w:color="auto"/>
          </w:divBdr>
        </w:div>
        <w:div w:id="1983347843">
          <w:marLeft w:val="0"/>
          <w:marRight w:val="0"/>
          <w:marTop w:val="0"/>
          <w:marBottom w:val="0"/>
          <w:divBdr>
            <w:top w:val="none" w:sz="0" w:space="0" w:color="auto"/>
            <w:left w:val="none" w:sz="0" w:space="0" w:color="auto"/>
            <w:bottom w:val="none" w:sz="0" w:space="0" w:color="auto"/>
            <w:right w:val="none" w:sz="0" w:space="0" w:color="auto"/>
          </w:divBdr>
        </w:div>
        <w:div w:id="1383555404">
          <w:marLeft w:val="0"/>
          <w:marRight w:val="0"/>
          <w:marTop w:val="0"/>
          <w:marBottom w:val="0"/>
          <w:divBdr>
            <w:top w:val="none" w:sz="0" w:space="0" w:color="auto"/>
            <w:left w:val="none" w:sz="0" w:space="0" w:color="auto"/>
            <w:bottom w:val="none" w:sz="0" w:space="0" w:color="auto"/>
            <w:right w:val="none" w:sz="0" w:space="0" w:color="auto"/>
          </w:divBdr>
        </w:div>
        <w:div w:id="1148665884">
          <w:marLeft w:val="0"/>
          <w:marRight w:val="0"/>
          <w:marTop w:val="0"/>
          <w:marBottom w:val="0"/>
          <w:divBdr>
            <w:top w:val="none" w:sz="0" w:space="0" w:color="auto"/>
            <w:left w:val="none" w:sz="0" w:space="0" w:color="auto"/>
            <w:bottom w:val="none" w:sz="0" w:space="0" w:color="auto"/>
            <w:right w:val="none" w:sz="0" w:space="0" w:color="auto"/>
          </w:divBdr>
        </w:div>
        <w:div w:id="442188926">
          <w:marLeft w:val="0"/>
          <w:marRight w:val="0"/>
          <w:marTop w:val="0"/>
          <w:marBottom w:val="0"/>
          <w:divBdr>
            <w:top w:val="none" w:sz="0" w:space="0" w:color="auto"/>
            <w:left w:val="none" w:sz="0" w:space="0" w:color="auto"/>
            <w:bottom w:val="none" w:sz="0" w:space="0" w:color="auto"/>
            <w:right w:val="none" w:sz="0" w:space="0" w:color="auto"/>
          </w:divBdr>
        </w:div>
        <w:div w:id="834952546">
          <w:marLeft w:val="0"/>
          <w:marRight w:val="0"/>
          <w:marTop w:val="0"/>
          <w:marBottom w:val="0"/>
          <w:divBdr>
            <w:top w:val="none" w:sz="0" w:space="0" w:color="auto"/>
            <w:left w:val="none" w:sz="0" w:space="0" w:color="auto"/>
            <w:bottom w:val="none" w:sz="0" w:space="0" w:color="auto"/>
            <w:right w:val="none" w:sz="0" w:space="0" w:color="auto"/>
          </w:divBdr>
        </w:div>
        <w:div w:id="669065683">
          <w:marLeft w:val="0"/>
          <w:marRight w:val="0"/>
          <w:marTop w:val="0"/>
          <w:marBottom w:val="0"/>
          <w:divBdr>
            <w:top w:val="none" w:sz="0" w:space="0" w:color="auto"/>
            <w:left w:val="none" w:sz="0" w:space="0" w:color="auto"/>
            <w:bottom w:val="none" w:sz="0" w:space="0" w:color="auto"/>
            <w:right w:val="none" w:sz="0" w:space="0" w:color="auto"/>
          </w:divBdr>
        </w:div>
        <w:div w:id="539904200">
          <w:marLeft w:val="0"/>
          <w:marRight w:val="0"/>
          <w:marTop w:val="0"/>
          <w:marBottom w:val="0"/>
          <w:divBdr>
            <w:top w:val="none" w:sz="0" w:space="0" w:color="auto"/>
            <w:left w:val="none" w:sz="0" w:space="0" w:color="auto"/>
            <w:bottom w:val="none" w:sz="0" w:space="0" w:color="auto"/>
            <w:right w:val="none" w:sz="0" w:space="0" w:color="auto"/>
          </w:divBdr>
        </w:div>
        <w:div w:id="1150559383">
          <w:marLeft w:val="0"/>
          <w:marRight w:val="0"/>
          <w:marTop w:val="0"/>
          <w:marBottom w:val="0"/>
          <w:divBdr>
            <w:top w:val="none" w:sz="0" w:space="0" w:color="auto"/>
            <w:left w:val="none" w:sz="0" w:space="0" w:color="auto"/>
            <w:bottom w:val="none" w:sz="0" w:space="0" w:color="auto"/>
            <w:right w:val="none" w:sz="0" w:space="0" w:color="auto"/>
          </w:divBdr>
        </w:div>
        <w:div w:id="1477648916">
          <w:marLeft w:val="0"/>
          <w:marRight w:val="0"/>
          <w:marTop w:val="0"/>
          <w:marBottom w:val="0"/>
          <w:divBdr>
            <w:top w:val="none" w:sz="0" w:space="0" w:color="auto"/>
            <w:left w:val="none" w:sz="0" w:space="0" w:color="auto"/>
            <w:bottom w:val="none" w:sz="0" w:space="0" w:color="auto"/>
            <w:right w:val="none" w:sz="0" w:space="0" w:color="auto"/>
          </w:divBdr>
        </w:div>
        <w:div w:id="1949192924">
          <w:marLeft w:val="0"/>
          <w:marRight w:val="0"/>
          <w:marTop w:val="0"/>
          <w:marBottom w:val="0"/>
          <w:divBdr>
            <w:top w:val="none" w:sz="0" w:space="0" w:color="auto"/>
            <w:left w:val="none" w:sz="0" w:space="0" w:color="auto"/>
            <w:bottom w:val="none" w:sz="0" w:space="0" w:color="auto"/>
            <w:right w:val="none" w:sz="0" w:space="0" w:color="auto"/>
          </w:divBdr>
        </w:div>
        <w:div w:id="1900046967">
          <w:marLeft w:val="0"/>
          <w:marRight w:val="0"/>
          <w:marTop w:val="0"/>
          <w:marBottom w:val="0"/>
          <w:divBdr>
            <w:top w:val="none" w:sz="0" w:space="0" w:color="auto"/>
            <w:left w:val="none" w:sz="0" w:space="0" w:color="auto"/>
            <w:bottom w:val="none" w:sz="0" w:space="0" w:color="auto"/>
            <w:right w:val="none" w:sz="0" w:space="0" w:color="auto"/>
          </w:divBdr>
        </w:div>
        <w:div w:id="2096901640">
          <w:marLeft w:val="0"/>
          <w:marRight w:val="0"/>
          <w:marTop w:val="0"/>
          <w:marBottom w:val="0"/>
          <w:divBdr>
            <w:top w:val="none" w:sz="0" w:space="0" w:color="auto"/>
            <w:left w:val="none" w:sz="0" w:space="0" w:color="auto"/>
            <w:bottom w:val="none" w:sz="0" w:space="0" w:color="auto"/>
            <w:right w:val="none" w:sz="0" w:space="0" w:color="auto"/>
          </w:divBdr>
        </w:div>
        <w:div w:id="292757890">
          <w:marLeft w:val="0"/>
          <w:marRight w:val="0"/>
          <w:marTop w:val="0"/>
          <w:marBottom w:val="0"/>
          <w:divBdr>
            <w:top w:val="none" w:sz="0" w:space="0" w:color="auto"/>
            <w:left w:val="none" w:sz="0" w:space="0" w:color="auto"/>
            <w:bottom w:val="none" w:sz="0" w:space="0" w:color="auto"/>
            <w:right w:val="none" w:sz="0" w:space="0" w:color="auto"/>
          </w:divBdr>
        </w:div>
        <w:div w:id="2110276450">
          <w:marLeft w:val="0"/>
          <w:marRight w:val="0"/>
          <w:marTop w:val="0"/>
          <w:marBottom w:val="0"/>
          <w:divBdr>
            <w:top w:val="none" w:sz="0" w:space="0" w:color="auto"/>
            <w:left w:val="none" w:sz="0" w:space="0" w:color="auto"/>
            <w:bottom w:val="none" w:sz="0" w:space="0" w:color="auto"/>
            <w:right w:val="none" w:sz="0" w:space="0" w:color="auto"/>
          </w:divBdr>
        </w:div>
        <w:div w:id="619460911">
          <w:marLeft w:val="0"/>
          <w:marRight w:val="0"/>
          <w:marTop w:val="0"/>
          <w:marBottom w:val="0"/>
          <w:divBdr>
            <w:top w:val="none" w:sz="0" w:space="0" w:color="auto"/>
            <w:left w:val="none" w:sz="0" w:space="0" w:color="auto"/>
            <w:bottom w:val="none" w:sz="0" w:space="0" w:color="auto"/>
            <w:right w:val="none" w:sz="0" w:space="0" w:color="auto"/>
          </w:divBdr>
        </w:div>
        <w:div w:id="1662156002">
          <w:marLeft w:val="0"/>
          <w:marRight w:val="0"/>
          <w:marTop w:val="0"/>
          <w:marBottom w:val="0"/>
          <w:divBdr>
            <w:top w:val="none" w:sz="0" w:space="0" w:color="auto"/>
            <w:left w:val="none" w:sz="0" w:space="0" w:color="auto"/>
            <w:bottom w:val="none" w:sz="0" w:space="0" w:color="auto"/>
            <w:right w:val="none" w:sz="0" w:space="0" w:color="auto"/>
          </w:divBdr>
        </w:div>
        <w:div w:id="347558896">
          <w:marLeft w:val="0"/>
          <w:marRight w:val="0"/>
          <w:marTop w:val="0"/>
          <w:marBottom w:val="0"/>
          <w:divBdr>
            <w:top w:val="none" w:sz="0" w:space="0" w:color="auto"/>
            <w:left w:val="none" w:sz="0" w:space="0" w:color="auto"/>
            <w:bottom w:val="none" w:sz="0" w:space="0" w:color="auto"/>
            <w:right w:val="none" w:sz="0" w:space="0" w:color="auto"/>
          </w:divBdr>
        </w:div>
        <w:div w:id="1358970814">
          <w:marLeft w:val="0"/>
          <w:marRight w:val="0"/>
          <w:marTop w:val="0"/>
          <w:marBottom w:val="0"/>
          <w:divBdr>
            <w:top w:val="none" w:sz="0" w:space="0" w:color="auto"/>
            <w:left w:val="none" w:sz="0" w:space="0" w:color="auto"/>
            <w:bottom w:val="none" w:sz="0" w:space="0" w:color="auto"/>
            <w:right w:val="none" w:sz="0" w:space="0" w:color="auto"/>
          </w:divBdr>
        </w:div>
        <w:div w:id="1838573829">
          <w:marLeft w:val="0"/>
          <w:marRight w:val="0"/>
          <w:marTop w:val="0"/>
          <w:marBottom w:val="0"/>
          <w:divBdr>
            <w:top w:val="none" w:sz="0" w:space="0" w:color="auto"/>
            <w:left w:val="none" w:sz="0" w:space="0" w:color="auto"/>
            <w:bottom w:val="none" w:sz="0" w:space="0" w:color="auto"/>
            <w:right w:val="none" w:sz="0" w:space="0" w:color="auto"/>
          </w:divBdr>
        </w:div>
        <w:div w:id="29688453">
          <w:marLeft w:val="0"/>
          <w:marRight w:val="0"/>
          <w:marTop w:val="0"/>
          <w:marBottom w:val="0"/>
          <w:divBdr>
            <w:top w:val="none" w:sz="0" w:space="0" w:color="auto"/>
            <w:left w:val="none" w:sz="0" w:space="0" w:color="auto"/>
            <w:bottom w:val="none" w:sz="0" w:space="0" w:color="auto"/>
            <w:right w:val="none" w:sz="0" w:space="0" w:color="auto"/>
          </w:divBdr>
        </w:div>
        <w:div w:id="539827642">
          <w:marLeft w:val="0"/>
          <w:marRight w:val="0"/>
          <w:marTop w:val="0"/>
          <w:marBottom w:val="0"/>
          <w:divBdr>
            <w:top w:val="none" w:sz="0" w:space="0" w:color="auto"/>
            <w:left w:val="none" w:sz="0" w:space="0" w:color="auto"/>
            <w:bottom w:val="none" w:sz="0" w:space="0" w:color="auto"/>
            <w:right w:val="none" w:sz="0" w:space="0" w:color="auto"/>
          </w:divBdr>
        </w:div>
        <w:div w:id="1925070527">
          <w:marLeft w:val="0"/>
          <w:marRight w:val="0"/>
          <w:marTop w:val="0"/>
          <w:marBottom w:val="0"/>
          <w:divBdr>
            <w:top w:val="none" w:sz="0" w:space="0" w:color="auto"/>
            <w:left w:val="none" w:sz="0" w:space="0" w:color="auto"/>
            <w:bottom w:val="none" w:sz="0" w:space="0" w:color="auto"/>
            <w:right w:val="none" w:sz="0" w:space="0" w:color="auto"/>
          </w:divBdr>
        </w:div>
        <w:div w:id="1308823852">
          <w:marLeft w:val="0"/>
          <w:marRight w:val="0"/>
          <w:marTop w:val="0"/>
          <w:marBottom w:val="0"/>
          <w:divBdr>
            <w:top w:val="none" w:sz="0" w:space="0" w:color="auto"/>
            <w:left w:val="none" w:sz="0" w:space="0" w:color="auto"/>
            <w:bottom w:val="none" w:sz="0" w:space="0" w:color="auto"/>
            <w:right w:val="none" w:sz="0" w:space="0" w:color="auto"/>
          </w:divBdr>
        </w:div>
        <w:div w:id="1613169044">
          <w:marLeft w:val="0"/>
          <w:marRight w:val="0"/>
          <w:marTop w:val="0"/>
          <w:marBottom w:val="0"/>
          <w:divBdr>
            <w:top w:val="none" w:sz="0" w:space="0" w:color="auto"/>
            <w:left w:val="none" w:sz="0" w:space="0" w:color="auto"/>
            <w:bottom w:val="none" w:sz="0" w:space="0" w:color="auto"/>
            <w:right w:val="none" w:sz="0" w:space="0" w:color="auto"/>
          </w:divBdr>
        </w:div>
        <w:div w:id="471794140">
          <w:marLeft w:val="0"/>
          <w:marRight w:val="0"/>
          <w:marTop w:val="0"/>
          <w:marBottom w:val="0"/>
          <w:divBdr>
            <w:top w:val="none" w:sz="0" w:space="0" w:color="auto"/>
            <w:left w:val="none" w:sz="0" w:space="0" w:color="auto"/>
            <w:bottom w:val="none" w:sz="0" w:space="0" w:color="auto"/>
            <w:right w:val="none" w:sz="0" w:space="0" w:color="auto"/>
          </w:divBdr>
        </w:div>
        <w:div w:id="1436949187">
          <w:marLeft w:val="0"/>
          <w:marRight w:val="0"/>
          <w:marTop w:val="0"/>
          <w:marBottom w:val="0"/>
          <w:divBdr>
            <w:top w:val="none" w:sz="0" w:space="0" w:color="auto"/>
            <w:left w:val="none" w:sz="0" w:space="0" w:color="auto"/>
            <w:bottom w:val="none" w:sz="0" w:space="0" w:color="auto"/>
            <w:right w:val="none" w:sz="0" w:space="0" w:color="auto"/>
          </w:divBdr>
        </w:div>
        <w:div w:id="1236938311">
          <w:marLeft w:val="0"/>
          <w:marRight w:val="0"/>
          <w:marTop w:val="0"/>
          <w:marBottom w:val="0"/>
          <w:divBdr>
            <w:top w:val="none" w:sz="0" w:space="0" w:color="auto"/>
            <w:left w:val="none" w:sz="0" w:space="0" w:color="auto"/>
            <w:bottom w:val="none" w:sz="0" w:space="0" w:color="auto"/>
            <w:right w:val="none" w:sz="0" w:space="0" w:color="auto"/>
          </w:divBdr>
        </w:div>
        <w:div w:id="1854955065">
          <w:marLeft w:val="0"/>
          <w:marRight w:val="0"/>
          <w:marTop w:val="0"/>
          <w:marBottom w:val="0"/>
          <w:divBdr>
            <w:top w:val="none" w:sz="0" w:space="0" w:color="auto"/>
            <w:left w:val="none" w:sz="0" w:space="0" w:color="auto"/>
            <w:bottom w:val="none" w:sz="0" w:space="0" w:color="auto"/>
            <w:right w:val="none" w:sz="0" w:space="0" w:color="auto"/>
          </w:divBdr>
        </w:div>
        <w:div w:id="1563902770">
          <w:marLeft w:val="0"/>
          <w:marRight w:val="0"/>
          <w:marTop w:val="0"/>
          <w:marBottom w:val="0"/>
          <w:divBdr>
            <w:top w:val="none" w:sz="0" w:space="0" w:color="auto"/>
            <w:left w:val="none" w:sz="0" w:space="0" w:color="auto"/>
            <w:bottom w:val="none" w:sz="0" w:space="0" w:color="auto"/>
            <w:right w:val="none" w:sz="0" w:space="0" w:color="auto"/>
          </w:divBdr>
        </w:div>
        <w:div w:id="2138525878">
          <w:marLeft w:val="0"/>
          <w:marRight w:val="0"/>
          <w:marTop w:val="0"/>
          <w:marBottom w:val="0"/>
          <w:divBdr>
            <w:top w:val="none" w:sz="0" w:space="0" w:color="auto"/>
            <w:left w:val="none" w:sz="0" w:space="0" w:color="auto"/>
            <w:bottom w:val="none" w:sz="0" w:space="0" w:color="auto"/>
            <w:right w:val="none" w:sz="0" w:space="0" w:color="auto"/>
          </w:divBdr>
        </w:div>
        <w:div w:id="1939367847">
          <w:marLeft w:val="0"/>
          <w:marRight w:val="0"/>
          <w:marTop w:val="0"/>
          <w:marBottom w:val="0"/>
          <w:divBdr>
            <w:top w:val="none" w:sz="0" w:space="0" w:color="auto"/>
            <w:left w:val="none" w:sz="0" w:space="0" w:color="auto"/>
            <w:bottom w:val="none" w:sz="0" w:space="0" w:color="auto"/>
            <w:right w:val="none" w:sz="0" w:space="0" w:color="auto"/>
          </w:divBdr>
        </w:div>
        <w:div w:id="350498631">
          <w:marLeft w:val="0"/>
          <w:marRight w:val="0"/>
          <w:marTop w:val="0"/>
          <w:marBottom w:val="0"/>
          <w:divBdr>
            <w:top w:val="none" w:sz="0" w:space="0" w:color="auto"/>
            <w:left w:val="none" w:sz="0" w:space="0" w:color="auto"/>
            <w:bottom w:val="none" w:sz="0" w:space="0" w:color="auto"/>
            <w:right w:val="none" w:sz="0" w:space="0" w:color="auto"/>
          </w:divBdr>
        </w:div>
        <w:div w:id="1468356188">
          <w:marLeft w:val="0"/>
          <w:marRight w:val="0"/>
          <w:marTop w:val="0"/>
          <w:marBottom w:val="0"/>
          <w:divBdr>
            <w:top w:val="none" w:sz="0" w:space="0" w:color="auto"/>
            <w:left w:val="none" w:sz="0" w:space="0" w:color="auto"/>
            <w:bottom w:val="none" w:sz="0" w:space="0" w:color="auto"/>
            <w:right w:val="none" w:sz="0" w:space="0" w:color="auto"/>
          </w:divBdr>
        </w:div>
        <w:div w:id="734359750">
          <w:marLeft w:val="0"/>
          <w:marRight w:val="0"/>
          <w:marTop w:val="0"/>
          <w:marBottom w:val="0"/>
          <w:divBdr>
            <w:top w:val="none" w:sz="0" w:space="0" w:color="auto"/>
            <w:left w:val="none" w:sz="0" w:space="0" w:color="auto"/>
            <w:bottom w:val="none" w:sz="0" w:space="0" w:color="auto"/>
            <w:right w:val="none" w:sz="0" w:space="0" w:color="auto"/>
          </w:divBdr>
        </w:div>
        <w:div w:id="2016959178">
          <w:marLeft w:val="0"/>
          <w:marRight w:val="0"/>
          <w:marTop w:val="0"/>
          <w:marBottom w:val="0"/>
          <w:divBdr>
            <w:top w:val="none" w:sz="0" w:space="0" w:color="auto"/>
            <w:left w:val="none" w:sz="0" w:space="0" w:color="auto"/>
            <w:bottom w:val="none" w:sz="0" w:space="0" w:color="auto"/>
            <w:right w:val="none" w:sz="0" w:space="0" w:color="auto"/>
          </w:divBdr>
        </w:div>
        <w:div w:id="753624180">
          <w:marLeft w:val="0"/>
          <w:marRight w:val="0"/>
          <w:marTop w:val="0"/>
          <w:marBottom w:val="0"/>
          <w:divBdr>
            <w:top w:val="none" w:sz="0" w:space="0" w:color="auto"/>
            <w:left w:val="none" w:sz="0" w:space="0" w:color="auto"/>
            <w:bottom w:val="none" w:sz="0" w:space="0" w:color="auto"/>
            <w:right w:val="none" w:sz="0" w:space="0" w:color="auto"/>
          </w:divBdr>
        </w:div>
        <w:div w:id="1763263520">
          <w:marLeft w:val="0"/>
          <w:marRight w:val="0"/>
          <w:marTop w:val="0"/>
          <w:marBottom w:val="0"/>
          <w:divBdr>
            <w:top w:val="none" w:sz="0" w:space="0" w:color="auto"/>
            <w:left w:val="none" w:sz="0" w:space="0" w:color="auto"/>
            <w:bottom w:val="none" w:sz="0" w:space="0" w:color="auto"/>
            <w:right w:val="none" w:sz="0" w:space="0" w:color="auto"/>
          </w:divBdr>
        </w:div>
        <w:div w:id="716202725">
          <w:marLeft w:val="0"/>
          <w:marRight w:val="0"/>
          <w:marTop w:val="0"/>
          <w:marBottom w:val="0"/>
          <w:divBdr>
            <w:top w:val="none" w:sz="0" w:space="0" w:color="auto"/>
            <w:left w:val="none" w:sz="0" w:space="0" w:color="auto"/>
            <w:bottom w:val="none" w:sz="0" w:space="0" w:color="auto"/>
            <w:right w:val="none" w:sz="0" w:space="0" w:color="auto"/>
          </w:divBdr>
        </w:div>
        <w:div w:id="2125148644">
          <w:marLeft w:val="0"/>
          <w:marRight w:val="0"/>
          <w:marTop w:val="0"/>
          <w:marBottom w:val="0"/>
          <w:divBdr>
            <w:top w:val="none" w:sz="0" w:space="0" w:color="auto"/>
            <w:left w:val="none" w:sz="0" w:space="0" w:color="auto"/>
            <w:bottom w:val="none" w:sz="0" w:space="0" w:color="auto"/>
            <w:right w:val="none" w:sz="0" w:space="0" w:color="auto"/>
          </w:divBdr>
        </w:div>
        <w:div w:id="75982753">
          <w:marLeft w:val="0"/>
          <w:marRight w:val="0"/>
          <w:marTop w:val="0"/>
          <w:marBottom w:val="0"/>
          <w:divBdr>
            <w:top w:val="none" w:sz="0" w:space="0" w:color="auto"/>
            <w:left w:val="none" w:sz="0" w:space="0" w:color="auto"/>
            <w:bottom w:val="none" w:sz="0" w:space="0" w:color="auto"/>
            <w:right w:val="none" w:sz="0" w:space="0" w:color="auto"/>
          </w:divBdr>
        </w:div>
        <w:div w:id="544174339">
          <w:marLeft w:val="0"/>
          <w:marRight w:val="0"/>
          <w:marTop w:val="0"/>
          <w:marBottom w:val="0"/>
          <w:divBdr>
            <w:top w:val="none" w:sz="0" w:space="0" w:color="auto"/>
            <w:left w:val="none" w:sz="0" w:space="0" w:color="auto"/>
            <w:bottom w:val="none" w:sz="0" w:space="0" w:color="auto"/>
            <w:right w:val="none" w:sz="0" w:space="0" w:color="auto"/>
          </w:divBdr>
        </w:div>
        <w:div w:id="751392581">
          <w:marLeft w:val="0"/>
          <w:marRight w:val="0"/>
          <w:marTop w:val="0"/>
          <w:marBottom w:val="0"/>
          <w:divBdr>
            <w:top w:val="none" w:sz="0" w:space="0" w:color="auto"/>
            <w:left w:val="none" w:sz="0" w:space="0" w:color="auto"/>
            <w:bottom w:val="none" w:sz="0" w:space="0" w:color="auto"/>
            <w:right w:val="none" w:sz="0" w:space="0" w:color="auto"/>
          </w:divBdr>
        </w:div>
        <w:div w:id="573125658">
          <w:marLeft w:val="0"/>
          <w:marRight w:val="0"/>
          <w:marTop w:val="0"/>
          <w:marBottom w:val="0"/>
          <w:divBdr>
            <w:top w:val="none" w:sz="0" w:space="0" w:color="auto"/>
            <w:left w:val="none" w:sz="0" w:space="0" w:color="auto"/>
            <w:bottom w:val="none" w:sz="0" w:space="0" w:color="auto"/>
            <w:right w:val="none" w:sz="0" w:space="0" w:color="auto"/>
          </w:divBdr>
        </w:div>
        <w:div w:id="1926843184">
          <w:marLeft w:val="0"/>
          <w:marRight w:val="0"/>
          <w:marTop w:val="0"/>
          <w:marBottom w:val="0"/>
          <w:divBdr>
            <w:top w:val="none" w:sz="0" w:space="0" w:color="auto"/>
            <w:left w:val="none" w:sz="0" w:space="0" w:color="auto"/>
            <w:bottom w:val="none" w:sz="0" w:space="0" w:color="auto"/>
            <w:right w:val="none" w:sz="0" w:space="0" w:color="auto"/>
          </w:divBdr>
        </w:div>
        <w:div w:id="188220804">
          <w:marLeft w:val="0"/>
          <w:marRight w:val="0"/>
          <w:marTop w:val="0"/>
          <w:marBottom w:val="0"/>
          <w:divBdr>
            <w:top w:val="none" w:sz="0" w:space="0" w:color="auto"/>
            <w:left w:val="none" w:sz="0" w:space="0" w:color="auto"/>
            <w:bottom w:val="none" w:sz="0" w:space="0" w:color="auto"/>
            <w:right w:val="none" w:sz="0" w:space="0" w:color="auto"/>
          </w:divBdr>
        </w:div>
        <w:div w:id="638340463">
          <w:marLeft w:val="0"/>
          <w:marRight w:val="0"/>
          <w:marTop w:val="0"/>
          <w:marBottom w:val="0"/>
          <w:divBdr>
            <w:top w:val="none" w:sz="0" w:space="0" w:color="auto"/>
            <w:left w:val="none" w:sz="0" w:space="0" w:color="auto"/>
            <w:bottom w:val="none" w:sz="0" w:space="0" w:color="auto"/>
            <w:right w:val="none" w:sz="0" w:space="0" w:color="auto"/>
          </w:divBdr>
        </w:div>
        <w:div w:id="1242527055">
          <w:marLeft w:val="0"/>
          <w:marRight w:val="0"/>
          <w:marTop w:val="0"/>
          <w:marBottom w:val="0"/>
          <w:divBdr>
            <w:top w:val="none" w:sz="0" w:space="0" w:color="auto"/>
            <w:left w:val="none" w:sz="0" w:space="0" w:color="auto"/>
            <w:bottom w:val="none" w:sz="0" w:space="0" w:color="auto"/>
            <w:right w:val="none" w:sz="0" w:space="0" w:color="auto"/>
          </w:divBdr>
        </w:div>
        <w:div w:id="110100909">
          <w:marLeft w:val="0"/>
          <w:marRight w:val="0"/>
          <w:marTop w:val="0"/>
          <w:marBottom w:val="0"/>
          <w:divBdr>
            <w:top w:val="none" w:sz="0" w:space="0" w:color="auto"/>
            <w:left w:val="none" w:sz="0" w:space="0" w:color="auto"/>
            <w:bottom w:val="none" w:sz="0" w:space="0" w:color="auto"/>
            <w:right w:val="none" w:sz="0" w:space="0" w:color="auto"/>
          </w:divBdr>
        </w:div>
        <w:div w:id="1198007690">
          <w:marLeft w:val="0"/>
          <w:marRight w:val="0"/>
          <w:marTop w:val="0"/>
          <w:marBottom w:val="0"/>
          <w:divBdr>
            <w:top w:val="none" w:sz="0" w:space="0" w:color="auto"/>
            <w:left w:val="none" w:sz="0" w:space="0" w:color="auto"/>
            <w:bottom w:val="none" w:sz="0" w:space="0" w:color="auto"/>
            <w:right w:val="none" w:sz="0" w:space="0" w:color="auto"/>
          </w:divBdr>
        </w:div>
        <w:div w:id="735513329">
          <w:marLeft w:val="0"/>
          <w:marRight w:val="0"/>
          <w:marTop w:val="0"/>
          <w:marBottom w:val="0"/>
          <w:divBdr>
            <w:top w:val="none" w:sz="0" w:space="0" w:color="auto"/>
            <w:left w:val="none" w:sz="0" w:space="0" w:color="auto"/>
            <w:bottom w:val="none" w:sz="0" w:space="0" w:color="auto"/>
            <w:right w:val="none" w:sz="0" w:space="0" w:color="auto"/>
          </w:divBdr>
        </w:div>
        <w:div w:id="1103379034">
          <w:marLeft w:val="0"/>
          <w:marRight w:val="0"/>
          <w:marTop w:val="0"/>
          <w:marBottom w:val="0"/>
          <w:divBdr>
            <w:top w:val="none" w:sz="0" w:space="0" w:color="auto"/>
            <w:left w:val="none" w:sz="0" w:space="0" w:color="auto"/>
            <w:bottom w:val="none" w:sz="0" w:space="0" w:color="auto"/>
            <w:right w:val="none" w:sz="0" w:space="0" w:color="auto"/>
          </w:divBdr>
        </w:div>
        <w:div w:id="482890499">
          <w:marLeft w:val="0"/>
          <w:marRight w:val="0"/>
          <w:marTop w:val="0"/>
          <w:marBottom w:val="0"/>
          <w:divBdr>
            <w:top w:val="none" w:sz="0" w:space="0" w:color="auto"/>
            <w:left w:val="none" w:sz="0" w:space="0" w:color="auto"/>
            <w:bottom w:val="none" w:sz="0" w:space="0" w:color="auto"/>
            <w:right w:val="none" w:sz="0" w:space="0" w:color="auto"/>
          </w:divBdr>
        </w:div>
        <w:div w:id="777455546">
          <w:marLeft w:val="0"/>
          <w:marRight w:val="0"/>
          <w:marTop w:val="0"/>
          <w:marBottom w:val="0"/>
          <w:divBdr>
            <w:top w:val="none" w:sz="0" w:space="0" w:color="auto"/>
            <w:left w:val="none" w:sz="0" w:space="0" w:color="auto"/>
            <w:bottom w:val="none" w:sz="0" w:space="0" w:color="auto"/>
            <w:right w:val="none" w:sz="0" w:space="0" w:color="auto"/>
          </w:divBdr>
        </w:div>
        <w:div w:id="2108498739">
          <w:marLeft w:val="0"/>
          <w:marRight w:val="0"/>
          <w:marTop w:val="0"/>
          <w:marBottom w:val="0"/>
          <w:divBdr>
            <w:top w:val="none" w:sz="0" w:space="0" w:color="auto"/>
            <w:left w:val="none" w:sz="0" w:space="0" w:color="auto"/>
            <w:bottom w:val="none" w:sz="0" w:space="0" w:color="auto"/>
            <w:right w:val="none" w:sz="0" w:space="0" w:color="auto"/>
          </w:divBdr>
        </w:div>
        <w:div w:id="2004969098">
          <w:marLeft w:val="0"/>
          <w:marRight w:val="0"/>
          <w:marTop w:val="0"/>
          <w:marBottom w:val="0"/>
          <w:divBdr>
            <w:top w:val="none" w:sz="0" w:space="0" w:color="auto"/>
            <w:left w:val="none" w:sz="0" w:space="0" w:color="auto"/>
            <w:bottom w:val="none" w:sz="0" w:space="0" w:color="auto"/>
            <w:right w:val="none" w:sz="0" w:space="0" w:color="auto"/>
          </w:divBdr>
        </w:div>
        <w:div w:id="1861237536">
          <w:marLeft w:val="0"/>
          <w:marRight w:val="0"/>
          <w:marTop w:val="0"/>
          <w:marBottom w:val="0"/>
          <w:divBdr>
            <w:top w:val="none" w:sz="0" w:space="0" w:color="auto"/>
            <w:left w:val="none" w:sz="0" w:space="0" w:color="auto"/>
            <w:bottom w:val="none" w:sz="0" w:space="0" w:color="auto"/>
            <w:right w:val="none" w:sz="0" w:space="0" w:color="auto"/>
          </w:divBdr>
        </w:div>
        <w:div w:id="1466893121">
          <w:marLeft w:val="0"/>
          <w:marRight w:val="0"/>
          <w:marTop w:val="0"/>
          <w:marBottom w:val="0"/>
          <w:divBdr>
            <w:top w:val="none" w:sz="0" w:space="0" w:color="auto"/>
            <w:left w:val="none" w:sz="0" w:space="0" w:color="auto"/>
            <w:bottom w:val="none" w:sz="0" w:space="0" w:color="auto"/>
            <w:right w:val="none" w:sz="0" w:space="0" w:color="auto"/>
          </w:divBdr>
        </w:div>
        <w:div w:id="1381594899">
          <w:marLeft w:val="0"/>
          <w:marRight w:val="0"/>
          <w:marTop w:val="0"/>
          <w:marBottom w:val="0"/>
          <w:divBdr>
            <w:top w:val="none" w:sz="0" w:space="0" w:color="auto"/>
            <w:left w:val="none" w:sz="0" w:space="0" w:color="auto"/>
            <w:bottom w:val="none" w:sz="0" w:space="0" w:color="auto"/>
            <w:right w:val="none" w:sz="0" w:space="0" w:color="auto"/>
          </w:divBdr>
        </w:div>
        <w:div w:id="1123697950">
          <w:marLeft w:val="0"/>
          <w:marRight w:val="0"/>
          <w:marTop w:val="0"/>
          <w:marBottom w:val="0"/>
          <w:divBdr>
            <w:top w:val="none" w:sz="0" w:space="0" w:color="auto"/>
            <w:left w:val="none" w:sz="0" w:space="0" w:color="auto"/>
            <w:bottom w:val="none" w:sz="0" w:space="0" w:color="auto"/>
            <w:right w:val="none" w:sz="0" w:space="0" w:color="auto"/>
          </w:divBdr>
        </w:div>
        <w:div w:id="695038276">
          <w:marLeft w:val="0"/>
          <w:marRight w:val="0"/>
          <w:marTop w:val="0"/>
          <w:marBottom w:val="0"/>
          <w:divBdr>
            <w:top w:val="none" w:sz="0" w:space="0" w:color="auto"/>
            <w:left w:val="none" w:sz="0" w:space="0" w:color="auto"/>
            <w:bottom w:val="none" w:sz="0" w:space="0" w:color="auto"/>
            <w:right w:val="none" w:sz="0" w:space="0" w:color="auto"/>
          </w:divBdr>
        </w:div>
        <w:div w:id="1896693881">
          <w:marLeft w:val="0"/>
          <w:marRight w:val="0"/>
          <w:marTop w:val="0"/>
          <w:marBottom w:val="0"/>
          <w:divBdr>
            <w:top w:val="none" w:sz="0" w:space="0" w:color="auto"/>
            <w:left w:val="none" w:sz="0" w:space="0" w:color="auto"/>
            <w:bottom w:val="none" w:sz="0" w:space="0" w:color="auto"/>
            <w:right w:val="none" w:sz="0" w:space="0" w:color="auto"/>
          </w:divBdr>
        </w:div>
        <w:div w:id="14699866">
          <w:marLeft w:val="0"/>
          <w:marRight w:val="0"/>
          <w:marTop w:val="0"/>
          <w:marBottom w:val="0"/>
          <w:divBdr>
            <w:top w:val="none" w:sz="0" w:space="0" w:color="auto"/>
            <w:left w:val="none" w:sz="0" w:space="0" w:color="auto"/>
            <w:bottom w:val="none" w:sz="0" w:space="0" w:color="auto"/>
            <w:right w:val="none" w:sz="0" w:space="0" w:color="auto"/>
          </w:divBdr>
        </w:div>
        <w:div w:id="214123308">
          <w:marLeft w:val="0"/>
          <w:marRight w:val="0"/>
          <w:marTop w:val="0"/>
          <w:marBottom w:val="0"/>
          <w:divBdr>
            <w:top w:val="none" w:sz="0" w:space="0" w:color="auto"/>
            <w:left w:val="none" w:sz="0" w:space="0" w:color="auto"/>
            <w:bottom w:val="none" w:sz="0" w:space="0" w:color="auto"/>
            <w:right w:val="none" w:sz="0" w:space="0" w:color="auto"/>
          </w:divBdr>
        </w:div>
        <w:div w:id="2029676521">
          <w:marLeft w:val="0"/>
          <w:marRight w:val="0"/>
          <w:marTop w:val="0"/>
          <w:marBottom w:val="0"/>
          <w:divBdr>
            <w:top w:val="none" w:sz="0" w:space="0" w:color="auto"/>
            <w:left w:val="none" w:sz="0" w:space="0" w:color="auto"/>
            <w:bottom w:val="none" w:sz="0" w:space="0" w:color="auto"/>
            <w:right w:val="none" w:sz="0" w:space="0" w:color="auto"/>
          </w:divBdr>
        </w:div>
        <w:div w:id="141047575">
          <w:marLeft w:val="0"/>
          <w:marRight w:val="0"/>
          <w:marTop w:val="0"/>
          <w:marBottom w:val="0"/>
          <w:divBdr>
            <w:top w:val="none" w:sz="0" w:space="0" w:color="auto"/>
            <w:left w:val="none" w:sz="0" w:space="0" w:color="auto"/>
            <w:bottom w:val="none" w:sz="0" w:space="0" w:color="auto"/>
            <w:right w:val="none" w:sz="0" w:space="0" w:color="auto"/>
          </w:divBdr>
        </w:div>
        <w:div w:id="1940946881">
          <w:marLeft w:val="0"/>
          <w:marRight w:val="0"/>
          <w:marTop w:val="0"/>
          <w:marBottom w:val="0"/>
          <w:divBdr>
            <w:top w:val="none" w:sz="0" w:space="0" w:color="auto"/>
            <w:left w:val="none" w:sz="0" w:space="0" w:color="auto"/>
            <w:bottom w:val="none" w:sz="0" w:space="0" w:color="auto"/>
            <w:right w:val="none" w:sz="0" w:space="0" w:color="auto"/>
          </w:divBdr>
        </w:div>
        <w:div w:id="876701364">
          <w:marLeft w:val="0"/>
          <w:marRight w:val="0"/>
          <w:marTop w:val="0"/>
          <w:marBottom w:val="0"/>
          <w:divBdr>
            <w:top w:val="none" w:sz="0" w:space="0" w:color="auto"/>
            <w:left w:val="none" w:sz="0" w:space="0" w:color="auto"/>
            <w:bottom w:val="none" w:sz="0" w:space="0" w:color="auto"/>
            <w:right w:val="none" w:sz="0" w:space="0" w:color="auto"/>
          </w:divBdr>
        </w:div>
        <w:div w:id="562328297">
          <w:marLeft w:val="0"/>
          <w:marRight w:val="0"/>
          <w:marTop w:val="0"/>
          <w:marBottom w:val="0"/>
          <w:divBdr>
            <w:top w:val="none" w:sz="0" w:space="0" w:color="auto"/>
            <w:left w:val="none" w:sz="0" w:space="0" w:color="auto"/>
            <w:bottom w:val="none" w:sz="0" w:space="0" w:color="auto"/>
            <w:right w:val="none" w:sz="0" w:space="0" w:color="auto"/>
          </w:divBdr>
        </w:div>
        <w:div w:id="14816967">
          <w:marLeft w:val="0"/>
          <w:marRight w:val="0"/>
          <w:marTop w:val="0"/>
          <w:marBottom w:val="0"/>
          <w:divBdr>
            <w:top w:val="none" w:sz="0" w:space="0" w:color="auto"/>
            <w:left w:val="none" w:sz="0" w:space="0" w:color="auto"/>
            <w:bottom w:val="none" w:sz="0" w:space="0" w:color="auto"/>
            <w:right w:val="none" w:sz="0" w:space="0" w:color="auto"/>
          </w:divBdr>
        </w:div>
        <w:div w:id="1334725606">
          <w:marLeft w:val="0"/>
          <w:marRight w:val="0"/>
          <w:marTop w:val="0"/>
          <w:marBottom w:val="0"/>
          <w:divBdr>
            <w:top w:val="none" w:sz="0" w:space="0" w:color="auto"/>
            <w:left w:val="none" w:sz="0" w:space="0" w:color="auto"/>
            <w:bottom w:val="none" w:sz="0" w:space="0" w:color="auto"/>
            <w:right w:val="none" w:sz="0" w:space="0" w:color="auto"/>
          </w:divBdr>
        </w:div>
        <w:div w:id="1415515012">
          <w:marLeft w:val="0"/>
          <w:marRight w:val="0"/>
          <w:marTop w:val="0"/>
          <w:marBottom w:val="0"/>
          <w:divBdr>
            <w:top w:val="none" w:sz="0" w:space="0" w:color="auto"/>
            <w:left w:val="none" w:sz="0" w:space="0" w:color="auto"/>
            <w:bottom w:val="none" w:sz="0" w:space="0" w:color="auto"/>
            <w:right w:val="none" w:sz="0" w:space="0" w:color="auto"/>
          </w:divBdr>
        </w:div>
        <w:div w:id="1532065660">
          <w:marLeft w:val="0"/>
          <w:marRight w:val="0"/>
          <w:marTop w:val="0"/>
          <w:marBottom w:val="0"/>
          <w:divBdr>
            <w:top w:val="none" w:sz="0" w:space="0" w:color="auto"/>
            <w:left w:val="none" w:sz="0" w:space="0" w:color="auto"/>
            <w:bottom w:val="none" w:sz="0" w:space="0" w:color="auto"/>
            <w:right w:val="none" w:sz="0" w:space="0" w:color="auto"/>
          </w:divBdr>
        </w:div>
        <w:div w:id="133178716">
          <w:marLeft w:val="0"/>
          <w:marRight w:val="0"/>
          <w:marTop w:val="0"/>
          <w:marBottom w:val="0"/>
          <w:divBdr>
            <w:top w:val="none" w:sz="0" w:space="0" w:color="auto"/>
            <w:left w:val="none" w:sz="0" w:space="0" w:color="auto"/>
            <w:bottom w:val="none" w:sz="0" w:space="0" w:color="auto"/>
            <w:right w:val="none" w:sz="0" w:space="0" w:color="auto"/>
          </w:divBdr>
        </w:div>
        <w:div w:id="1497723193">
          <w:marLeft w:val="0"/>
          <w:marRight w:val="0"/>
          <w:marTop w:val="0"/>
          <w:marBottom w:val="0"/>
          <w:divBdr>
            <w:top w:val="none" w:sz="0" w:space="0" w:color="auto"/>
            <w:left w:val="none" w:sz="0" w:space="0" w:color="auto"/>
            <w:bottom w:val="none" w:sz="0" w:space="0" w:color="auto"/>
            <w:right w:val="none" w:sz="0" w:space="0" w:color="auto"/>
          </w:divBdr>
        </w:div>
        <w:div w:id="1286615440">
          <w:marLeft w:val="0"/>
          <w:marRight w:val="0"/>
          <w:marTop w:val="0"/>
          <w:marBottom w:val="0"/>
          <w:divBdr>
            <w:top w:val="none" w:sz="0" w:space="0" w:color="auto"/>
            <w:left w:val="none" w:sz="0" w:space="0" w:color="auto"/>
            <w:bottom w:val="none" w:sz="0" w:space="0" w:color="auto"/>
            <w:right w:val="none" w:sz="0" w:space="0" w:color="auto"/>
          </w:divBdr>
        </w:div>
        <w:div w:id="1851724407">
          <w:marLeft w:val="0"/>
          <w:marRight w:val="0"/>
          <w:marTop w:val="0"/>
          <w:marBottom w:val="0"/>
          <w:divBdr>
            <w:top w:val="none" w:sz="0" w:space="0" w:color="auto"/>
            <w:left w:val="none" w:sz="0" w:space="0" w:color="auto"/>
            <w:bottom w:val="none" w:sz="0" w:space="0" w:color="auto"/>
            <w:right w:val="none" w:sz="0" w:space="0" w:color="auto"/>
          </w:divBdr>
        </w:div>
        <w:div w:id="1506481429">
          <w:marLeft w:val="0"/>
          <w:marRight w:val="0"/>
          <w:marTop w:val="0"/>
          <w:marBottom w:val="0"/>
          <w:divBdr>
            <w:top w:val="none" w:sz="0" w:space="0" w:color="auto"/>
            <w:left w:val="none" w:sz="0" w:space="0" w:color="auto"/>
            <w:bottom w:val="none" w:sz="0" w:space="0" w:color="auto"/>
            <w:right w:val="none" w:sz="0" w:space="0" w:color="auto"/>
          </w:divBdr>
        </w:div>
        <w:div w:id="1567034223">
          <w:marLeft w:val="0"/>
          <w:marRight w:val="0"/>
          <w:marTop w:val="0"/>
          <w:marBottom w:val="0"/>
          <w:divBdr>
            <w:top w:val="none" w:sz="0" w:space="0" w:color="auto"/>
            <w:left w:val="none" w:sz="0" w:space="0" w:color="auto"/>
            <w:bottom w:val="none" w:sz="0" w:space="0" w:color="auto"/>
            <w:right w:val="none" w:sz="0" w:space="0" w:color="auto"/>
          </w:divBdr>
        </w:div>
        <w:div w:id="729621008">
          <w:marLeft w:val="0"/>
          <w:marRight w:val="0"/>
          <w:marTop w:val="0"/>
          <w:marBottom w:val="0"/>
          <w:divBdr>
            <w:top w:val="none" w:sz="0" w:space="0" w:color="auto"/>
            <w:left w:val="none" w:sz="0" w:space="0" w:color="auto"/>
            <w:bottom w:val="none" w:sz="0" w:space="0" w:color="auto"/>
            <w:right w:val="none" w:sz="0" w:space="0" w:color="auto"/>
          </w:divBdr>
        </w:div>
        <w:div w:id="1095787525">
          <w:marLeft w:val="0"/>
          <w:marRight w:val="0"/>
          <w:marTop w:val="0"/>
          <w:marBottom w:val="0"/>
          <w:divBdr>
            <w:top w:val="none" w:sz="0" w:space="0" w:color="auto"/>
            <w:left w:val="none" w:sz="0" w:space="0" w:color="auto"/>
            <w:bottom w:val="none" w:sz="0" w:space="0" w:color="auto"/>
            <w:right w:val="none" w:sz="0" w:space="0" w:color="auto"/>
          </w:divBdr>
        </w:div>
        <w:div w:id="939338041">
          <w:marLeft w:val="0"/>
          <w:marRight w:val="0"/>
          <w:marTop w:val="0"/>
          <w:marBottom w:val="0"/>
          <w:divBdr>
            <w:top w:val="none" w:sz="0" w:space="0" w:color="auto"/>
            <w:left w:val="none" w:sz="0" w:space="0" w:color="auto"/>
            <w:bottom w:val="none" w:sz="0" w:space="0" w:color="auto"/>
            <w:right w:val="none" w:sz="0" w:space="0" w:color="auto"/>
          </w:divBdr>
        </w:div>
        <w:div w:id="378286440">
          <w:marLeft w:val="0"/>
          <w:marRight w:val="0"/>
          <w:marTop w:val="0"/>
          <w:marBottom w:val="0"/>
          <w:divBdr>
            <w:top w:val="none" w:sz="0" w:space="0" w:color="auto"/>
            <w:left w:val="none" w:sz="0" w:space="0" w:color="auto"/>
            <w:bottom w:val="none" w:sz="0" w:space="0" w:color="auto"/>
            <w:right w:val="none" w:sz="0" w:space="0" w:color="auto"/>
          </w:divBdr>
        </w:div>
        <w:div w:id="1938557779">
          <w:marLeft w:val="0"/>
          <w:marRight w:val="0"/>
          <w:marTop w:val="0"/>
          <w:marBottom w:val="0"/>
          <w:divBdr>
            <w:top w:val="none" w:sz="0" w:space="0" w:color="auto"/>
            <w:left w:val="none" w:sz="0" w:space="0" w:color="auto"/>
            <w:bottom w:val="none" w:sz="0" w:space="0" w:color="auto"/>
            <w:right w:val="none" w:sz="0" w:space="0" w:color="auto"/>
          </w:divBdr>
        </w:div>
        <w:div w:id="1881240102">
          <w:marLeft w:val="0"/>
          <w:marRight w:val="0"/>
          <w:marTop w:val="0"/>
          <w:marBottom w:val="0"/>
          <w:divBdr>
            <w:top w:val="none" w:sz="0" w:space="0" w:color="auto"/>
            <w:left w:val="none" w:sz="0" w:space="0" w:color="auto"/>
            <w:bottom w:val="none" w:sz="0" w:space="0" w:color="auto"/>
            <w:right w:val="none" w:sz="0" w:space="0" w:color="auto"/>
          </w:divBdr>
        </w:div>
        <w:div w:id="1076129200">
          <w:marLeft w:val="0"/>
          <w:marRight w:val="0"/>
          <w:marTop w:val="0"/>
          <w:marBottom w:val="0"/>
          <w:divBdr>
            <w:top w:val="none" w:sz="0" w:space="0" w:color="auto"/>
            <w:left w:val="none" w:sz="0" w:space="0" w:color="auto"/>
            <w:bottom w:val="none" w:sz="0" w:space="0" w:color="auto"/>
            <w:right w:val="none" w:sz="0" w:space="0" w:color="auto"/>
          </w:divBdr>
        </w:div>
        <w:div w:id="735973908">
          <w:marLeft w:val="0"/>
          <w:marRight w:val="0"/>
          <w:marTop w:val="0"/>
          <w:marBottom w:val="0"/>
          <w:divBdr>
            <w:top w:val="none" w:sz="0" w:space="0" w:color="auto"/>
            <w:left w:val="none" w:sz="0" w:space="0" w:color="auto"/>
            <w:bottom w:val="none" w:sz="0" w:space="0" w:color="auto"/>
            <w:right w:val="none" w:sz="0" w:space="0" w:color="auto"/>
          </w:divBdr>
        </w:div>
        <w:div w:id="356123968">
          <w:marLeft w:val="0"/>
          <w:marRight w:val="0"/>
          <w:marTop w:val="0"/>
          <w:marBottom w:val="0"/>
          <w:divBdr>
            <w:top w:val="none" w:sz="0" w:space="0" w:color="auto"/>
            <w:left w:val="none" w:sz="0" w:space="0" w:color="auto"/>
            <w:bottom w:val="none" w:sz="0" w:space="0" w:color="auto"/>
            <w:right w:val="none" w:sz="0" w:space="0" w:color="auto"/>
          </w:divBdr>
        </w:div>
        <w:div w:id="1991862808">
          <w:marLeft w:val="0"/>
          <w:marRight w:val="0"/>
          <w:marTop w:val="0"/>
          <w:marBottom w:val="0"/>
          <w:divBdr>
            <w:top w:val="none" w:sz="0" w:space="0" w:color="auto"/>
            <w:left w:val="none" w:sz="0" w:space="0" w:color="auto"/>
            <w:bottom w:val="none" w:sz="0" w:space="0" w:color="auto"/>
            <w:right w:val="none" w:sz="0" w:space="0" w:color="auto"/>
          </w:divBdr>
        </w:div>
        <w:div w:id="1018317403">
          <w:marLeft w:val="0"/>
          <w:marRight w:val="0"/>
          <w:marTop w:val="0"/>
          <w:marBottom w:val="0"/>
          <w:divBdr>
            <w:top w:val="none" w:sz="0" w:space="0" w:color="auto"/>
            <w:left w:val="none" w:sz="0" w:space="0" w:color="auto"/>
            <w:bottom w:val="none" w:sz="0" w:space="0" w:color="auto"/>
            <w:right w:val="none" w:sz="0" w:space="0" w:color="auto"/>
          </w:divBdr>
        </w:div>
      </w:divsChild>
    </w:div>
    <w:div w:id="538317805">
      <w:bodyDiv w:val="1"/>
      <w:marLeft w:val="0"/>
      <w:marRight w:val="0"/>
      <w:marTop w:val="0"/>
      <w:marBottom w:val="0"/>
      <w:divBdr>
        <w:top w:val="none" w:sz="0" w:space="0" w:color="auto"/>
        <w:left w:val="none" w:sz="0" w:space="0" w:color="auto"/>
        <w:bottom w:val="none" w:sz="0" w:space="0" w:color="auto"/>
        <w:right w:val="none" w:sz="0" w:space="0" w:color="auto"/>
      </w:divBdr>
      <w:divsChild>
        <w:div w:id="1398045807">
          <w:marLeft w:val="0"/>
          <w:marRight w:val="0"/>
          <w:marTop w:val="0"/>
          <w:marBottom w:val="0"/>
          <w:divBdr>
            <w:top w:val="none" w:sz="0" w:space="0" w:color="auto"/>
            <w:left w:val="none" w:sz="0" w:space="0" w:color="auto"/>
            <w:bottom w:val="none" w:sz="0" w:space="0" w:color="auto"/>
            <w:right w:val="none" w:sz="0" w:space="0" w:color="auto"/>
          </w:divBdr>
        </w:div>
        <w:div w:id="1213342401">
          <w:marLeft w:val="0"/>
          <w:marRight w:val="0"/>
          <w:marTop w:val="0"/>
          <w:marBottom w:val="0"/>
          <w:divBdr>
            <w:top w:val="none" w:sz="0" w:space="0" w:color="auto"/>
            <w:left w:val="none" w:sz="0" w:space="0" w:color="auto"/>
            <w:bottom w:val="none" w:sz="0" w:space="0" w:color="auto"/>
            <w:right w:val="none" w:sz="0" w:space="0" w:color="auto"/>
          </w:divBdr>
        </w:div>
        <w:div w:id="1804302154">
          <w:marLeft w:val="0"/>
          <w:marRight w:val="0"/>
          <w:marTop w:val="0"/>
          <w:marBottom w:val="0"/>
          <w:divBdr>
            <w:top w:val="none" w:sz="0" w:space="0" w:color="auto"/>
            <w:left w:val="none" w:sz="0" w:space="0" w:color="auto"/>
            <w:bottom w:val="none" w:sz="0" w:space="0" w:color="auto"/>
            <w:right w:val="none" w:sz="0" w:space="0" w:color="auto"/>
          </w:divBdr>
        </w:div>
        <w:div w:id="1946769431">
          <w:marLeft w:val="0"/>
          <w:marRight w:val="0"/>
          <w:marTop w:val="0"/>
          <w:marBottom w:val="0"/>
          <w:divBdr>
            <w:top w:val="none" w:sz="0" w:space="0" w:color="auto"/>
            <w:left w:val="none" w:sz="0" w:space="0" w:color="auto"/>
            <w:bottom w:val="none" w:sz="0" w:space="0" w:color="auto"/>
            <w:right w:val="none" w:sz="0" w:space="0" w:color="auto"/>
          </w:divBdr>
        </w:div>
        <w:div w:id="16468240">
          <w:marLeft w:val="0"/>
          <w:marRight w:val="0"/>
          <w:marTop w:val="0"/>
          <w:marBottom w:val="0"/>
          <w:divBdr>
            <w:top w:val="none" w:sz="0" w:space="0" w:color="auto"/>
            <w:left w:val="none" w:sz="0" w:space="0" w:color="auto"/>
            <w:bottom w:val="none" w:sz="0" w:space="0" w:color="auto"/>
            <w:right w:val="none" w:sz="0" w:space="0" w:color="auto"/>
          </w:divBdr>
        </w:div>
        <w:div w:id="361175899">
          <w:marLeft w:val="0"/>
          <w:marRight w:val="0"/>
          <w:marTop w:val="0"/>
          <w:marBottom w:val="0"/>
          <w:divBdr>
            <w:top w:val="none" w:sz="0" w:space="0" w:color="auto"/>
            <w:left w:val="none" w:sz="0" w:space="0" w:color="auto"/>
            <w:bottom w:val="none" w:sz="0" w:space="0" w:color="auto"/>
            <w:right w:val="none" w:sz="0" w:space="0" w:color="auto"/>
          </w:divBdr>
        </w:div>
        <w:div w:id="2068140314">
          <w:marLeft w:val="0"/>
          <w:marRight w:val="0"/>
          <w:marTop w:val="0"/>
          <w:marBottom w:val="0"/>
          <w:divBdr>
            <w:top w:val="none" w:sz="0" w:space="0" w:color="auto"/>
            <w:left w:val="none" w:sz="0" w:space="0" w:color="auto"/>
            <w:bottom w:val="none" w:sz="0" w:space="0" w:color="auto"/>
            <w:right w:val="none" w:sz="0" w:space="0" w:color="auto"/>
          </w:divBdr>
        </w:div>
        <w:div w:id="1804543071">
          <w:marLeft w:val="0"/>
          <w:marRight w:val="0"/>
          <w:marTop w:val="0"/>
          <w:marBottom w:val="0"/>
          <w:divBdr>
            <w:top w:val="none" w:sz="0" w:space="0" w:color="auto"/>
            <w:left w:val="none" w:sz="0" w:space="0" w:color="auto"/>
            <w:bottom w:val="none" w:sz="0" w:space="0" w:color="auto"/>
            <w:right w:val="none" w:sz="0" w:space="0" w:color="auto"/>
          </w:divBdr>
        </w:div>
        <w:div w:id="1476606541">
          <w:marLeft w:val="0"/>
          <w:marRight w:val="0"/>
          <w:marTop w:val="0"/>
          <w:marBottom w:val="0"/>
          <w:divBdr>
            <w:top w:val="none" w:sz="0" w:space="0" w:color="auto"/>
            <w:left w:val="none" w:sz="0" w:space="0" w:color="auto"/>
            <w:bottom w:val="none" w:sz="0" w:space="0" w:color="auto"/>
            <w:right w:val="none" w:sz="0" w:space="0" w:color="auto"/>
          </w:divBdr>
        </w:div>
        <w:div w:id="1002050128">
          <w:marLeft w:val="0"/>
          <w:marRight w:val="0"/>
          <w:marTop w:val="0"/>
          <w:marBottom w:val="0"/>
          <w:divBdr>
            <w:top w:val="none" w:sz="0" w:space="0" w:color="auto"/>
            <w:left w:val="none" w:sz="0" w:space="0" w:color="auto"/>
            <w:bottom w:val="none" w:sz="0" w:space="0" w:color="auto"/>
            <w:right w:val="none" w:sz="0" w:space="0" w:color="auto"/>
          </w:divBdr>
        </w:div>
        <w:div w:id="368771857">
          <w:marLeft w:val="0"/>
          <w:marRight w:val="0"/>
          <w:marTop w:val="0"/>
          <w:marBottom w:val="0"/>
          <w:divBdr>
            <w:top w:val="none" w:sz="0" w:space="0" w:color="auto"/>
            <w:left w:val="none" w:sz="0" w:space="0" w:color="auto"/>
            <w:bottom w:val="none" w:sz="0" w:space="0" w:color="auto"/>
            <w:right w:val="none" w:sz="0" w:space="0" w:color="auto"/>
          </w:divBdr>
        </w:div>
        <w:div w:id="672152262">
          <w:marLeft w:val="0"/>
          <w:marRight w:val="0"/>
          <w:marTop w:val="0"/>
          <w:marBottom w:val="0"/>
          <w:divBdr>
            <w:top w:val="none" w:sz="0" w:space="0" w:color="auto"/>
            <w:left w:val="none" w:sz="0" w:space="0" w:color="auto"/>
            <w:bottom w:val="none" w:sz="0" w:space="0" w:color="auto"/>
            <w:right w:val="none" w:sz="0" w:space="0" w:color="auto"/>
          </w:divBdr>
        </w:div>
        <w:div w:id="1598831424">
          <w:marLeft w:val="0"/>
          <w:marRight w:val="0"/>
          <w:marTop w:val="0"/>
          <w:marBottom w:val="0"/>
          <w:divBdr>
            <w:top w:val="none" w:sz="0" w:space="0" w:color="auto"/>
            <w:left w:val="none" w:sz="0" w:space="0" w:color="auto"/>
            <w:bottom w:val="none" w:sz="0" w:space="0" w:color="auto"/>
            <w:right w:val="none" w:sz="0" w:space="0" w:color="auto"/>
          </w:divBdr>
        </w:div>
        <w:div w:id="534536853">
          <w:marLeft w:val="0"/>
          <w:marRight w:val="0"/>
          <w:marTop w:val="0"/>
          <w:marBottom w:val="0"/>
          <w:divBdr>
            <w:top w:val="none" w:sz="0" w:space="0" w:color="auto"/>
            <w:left w:val="none" w:sz="0" w:space="0" w:color="auto"/>
            <w:bottom w:val="none" w:sz="0" w:space="0" w:color="auto"/>
            <w:right w:val="none" w:sz="0" w:space="0" w:color="auto"/>
          </w:divBdr>
        </w:div>
        <w:div w:id="516162039">
          <w:marLeft w:val="0"/>
          <w:marRight w:val="0"/>
          <w:marTop w:val="0"/>
          <w:marBottom w:val="0"/>
          <w:divBdr>
            <w:top w:val="none" w:sz="0" w:space="0" w:color="auto"/>
            <w:left w:val="none" w:sz="0" w:space="0" w:color="auto"/>
            <w:bottom w:val="none" w:sz="0" w:space="0" w:color="auto"/>
            <w:right w:val="none" w:sz="0" w:space="0" w:color="auto"/>
          </w:divBdr>
        </w:div>
        <w:div w:id="1832793428">
          <w:marLeft w:val="0"/>
          <w:marRight w:val="0"/>
          <w:marTop w:val="0"/>
          <w:marBottom w:val="0"/>
          <w:divBdr>
            <w:top w:val="none" w:sz="0" w:space="0" w:color="auto"/>
            <w:left w:val="none" w:sz="0" w:space="0" w:color="auto"/>
            <w:bottom w:val="none" w:sz="0" w:space="0" w:color="auto"/>
            <w:right w:val="none" w:sz="0" w:space="0" w:color="auto"/>
          </w:divBdr>
        </w:div>
        <w:div w:id="1554586162">
          <w:marLeft w:val="0"/>
          <w:marRight w:val="0"/>
          <w:marTop w:val="0"/>
          <w:marBottom w:val="0"/>
          <w:divBdr>
            <w:top w:val="none" w:sz="0" w:space="0" w:color="auto"/>
            <w:left w:val="none" w:sz="0" w:space="0" w:color="auto"/>
            <w:bottom w:val="none" w:sz="0" w:space="0" w:color="auto"/>
            <w:right w:val="none" w:sz="0" w:space="0" w:color="auto"/>
          </w:divBdr>
        </w:div>
        <w:div w:id="2095198425">
          <w:marLeft w:val="0"/>
          <w:marRight w:val="0"/>
          <w:marTop w:val="0"/>
          <w:marBottom w:val="0"/>
          <w:divBdr>
            <w:top w:val="none" w:sz="0" w:space="0" w:color="auto"/>
            <w:left w:val="none" w:sz="0" w:space="0" w:color="auto"/>
            <w:bottom w:val="none" w:sz="0" w:space="0" w:color="auto"/>
            <w:right w:val="none" w:sz="0" w:space="0" w:color="auto"/>
          </w:divBdr>
        </w:div>
        <w:div w:id="2139639556">
          <w:marLeft w:val="0"/>
          <w:marRight w:val="0"/>
          <w:marTop w:val="0"/>
          <w:marBottom w:val="0"/>
          <w:divBdr>
            <w:top w:val="none" w:sz="0" w:space="0" w:color="auto"/>
            <w:left w:val="none" w:sz="0" w:space="0" w:color="auto"/>
            <w:bottom w:val="none" w:sz="0" w:space="0" w:color="auto"/>
            <w:right w:val="none" w:sz="0" w:space="0" w:color="auto"/>
          </w:divBdr>
        </w:div>
        <w:div w:id="2051491470">
          <w:marLeft w:val="0"/>
          <w:marRight w:val="0"/>
          <w:marTop w:val="0"/>
          <w:marBottom w:val="0"/>
          <w:divBdr>
            <w:top w:val="none" w:sz="0" w:space="0" w:color="auto"/>
            <w:left w:val="none" w:sz="0" w:space="0" w:color="auto"/>
            <w:bottom w:val="none" w:sz="0" w:space="0" w:color="auto"/>
            <w:right w:val="none" w:sz="0" w:space="0" w:color="auto"/>
          </w:divBdr>
        </w:div>
        <w:div w:id="1232423457">
          <w:marLeft w:val="0"/>
          <w:marRight w:val="0"/>
          <w:marTop w:val="0"/>
          <w:marBottom w:val="0"/>
          <w:divBdr>
            <w:top w:val="none" w:sz="0" w:space="0" w:color="auto"/>
            <w:left w:val="none" w:sz="0" w:space="0" w:color="auto"/>
            <w:bottom w:val="none" w:sz="0" w:space="0" w:color="auto"/>
            <w:right w:val="none" w:sz="0" w:space="0" w:color="auto"/>
          </w:divBdr>
        </w:div>
        <w:div w:id="1851069569">
          <w:marLeft w:val="0"/>
          <w:marRight w:val="0"/>
          <w:marTop w:val="0"/>
          <w:marBottom w:val="0"/>
          <w:divBdr>
            <w:top w:val="none" w:sz="0" w:space="0" w:color="auto"/>
            <w:left w:val="none" w:sz="0" w:space="0" w:color="auto"/>
            <w:bottom w:val="none" w:sz="0" w:space="0" w:color="auto"/>
            <w:right w:val="none" w:sz="0" w:space="0" w:color="auto"/>
          </w:divBdr>
        </w:div>
        <w:div w:id="930698639">
          <w:marLeft w:val="0"/>
          <w:marRight w:val="0"/>
          <w:marTop w:val="0"/>
          <w:marBottom w:val="0"/>
          <w:divBdr>
            <w:top w:val="none" w:sz="0" w:space="0" w:color="auto"/>
            <w:left w:val="none" w:sz="0" w:space="0" w:color="auto"/>
            <w:bottom w:val="none" w:sz="0" w:space="0" w:color="auto"/>
            <w:right w:val="none" w:sz="0" w:space="0" w:color="auto"/>
          </w:divBdr>
        </w:div>
        <w:div w:id="1715037140">
          <w:marLeft w:val="0"/>
          <w:marRight w:val="0"/>
          <w:marTop w:val="0"/>
          <w:marBottom w:val="0"/>
          <w:divBdr>
            <w:top w:val="none" w:sz="0" w:space="0" w:color="auto"/>
            <w:left w:val="none" w:sz="0" w:space="0" w:color="auto"/>
            <w:bottom w:val="none" w:sz="0" w:space="0" w:color="auto"/>
            <w:right w:val="none" w:sz="0" w:space="0" w:color="auto"/>
          </w:divBdr>
        </w:div>
        <w:div w:id="1613591079">
          <w:marLeft w:val="0"/>
          <w:marRight w:val="0"/>
          <w:marTop w:val="0"/>
          <w:marBottom w:val="0"/>
          <w:divBdr>
            <w:top w:val="none" w:sz="0" w:space="0" w:color="auto"/>
            <w:left w:val="none" w:sz="0" w:space="0" w:color="auto"/>
            <w:bottom w:val="none" w:sz="0" w:space="0" w:color="auto"/>
            <w:right w:val="none" w:sz="0" w:space="0" w:color="auto"/>
          </w:divBdr>
        </w:div>
        <w:div w:id="1910312004">
          <w:marLeft w:val="0"/>
          <w:marRight w:val="0"/>
          <w:marTop w:val="0"/>
          <w:marBottom w:val="0"/>
          <w:divBdr>
            <w:top w:val="none" w:sz="0" w:space="0" w:color="auto"/>
            <w:left w:val="none" w:sz="0" w:space="0" w:color="auto"/>
            <w:bottom w:val="none" w:sz="0" w:space="0" w:color="auto"/>
            <w:right w:val="none" w:sz="0" w:space="0" w:color="auto"/>
          </w:divBdr>
        </w:div>
        <w:div w:id="558636449">
          <w:marLeft w:val="0"/>
          <w:marRight w:val="0"/>
          <w:marTop w:val="0"/>
          <w:marBottom w:val="0"/>
          <w:divBdr>
            <w:top w:val="none" w:sz="0" w:space="0" w:color="auto"/>
            <w:left w:val="none" w:sz="0" w:space="0" w:color="auto"/>
            <w:bottom w:val="none" w:sz="0" w:space="0" w:color="auto"/>
            <w:right w:val="none" w:sz="0" w:space="0" w:color="auto"/>
          </w:divBdr>
        </w:div>
        <w:div w:id="766854177">
          <w:marLeft w:val="0"/>
          <w:marRight w:val="0"/>
          <w:marTop w:val="0"/>
          <w:marBottom w:val="0"/>
          <w:divBdr>
            <w:top w:val="none" w:sz="0" w:space="0" w:color="auto"/>
            <w:left w:val="none" w:sz="0" w:space="0" w:color="auto"/>
            <w:bottom w:val="none" w:sz="0" w:space="0" w:color="auto"/>
            <w:right w:val="none" w:sz="0" w:space="0" w:color="auto"/>
          </w:divBdr>
        </w:div>
        <w:div w:id="1014769764">
          <w:marLeft w:val="0"/>
          <w:marRight w:val="0"/>
          <w:marTop w:val="0"/>
          <w:marBottom w:val="0"/>
          <w:divBdr>
            <w:top w:val="none" w:sz="0" w:space="0" w:color="auto"/>
            <w:left w:val="none" w:sz="0" w:space="0" w:color="auto"/>
            <w:bottom w:val="none" w:sz="0" w:space="0" w:color="auto"/>
            <w:right w:val="none" w:sz="0" w:space="0" w:color="auto"/>
          </w:divBdr>
        </w:div>
        <w:div w:id="449596064">
          <w:marLeft w:val="0"/>
          <w:marRight w:val="0"/>
          <w:marTop w:val="0"/>
          <w:marBottom w:val="0"/>
          <w:divBdr>
            <w:top w:val="none" w:sz="0" w:space="0" w:color="auto"/>
            <w:left w:val="none" w:sz="0" w:space="0" w:color="auto"/>
            <w:bottom w:val="none" w:sz="0" w:space="0" w:color="auto"/>
            <w:right w:val="none" w:sz="0" w:space="0" w:color="auto"/>
          </w:divBdr>
        </w:div>
        <w:div w:id="1838418159">
          <w:marLeft w:val="0"/>
          <w:marRight w:val="0"/>
          <w:marTop w:val="0"/>
          <w:marBottom w:val="0"/>
          <w:divBdr>
            <w:top w:val="none" w:sz="0" w:space="0" w:color="auto"/>
            <w:left w:val="none" w:sz="0" w:space="0" w:color="auto"/>
            <w:bottom w:val="none" w:sz="0" w:space="0" w:color="auto"/>
            <w:right w:val="none" w:sz="0" w:space="0" w:color="auto"/>
          </w:divBdr>
        </w:div>
        <w:div w:id="1325671544">
          <w:marLeft w:val="0"/>
          <w:marRight w:val="0"/>
          <w:marTop w:val="0"/>
          <w:marBottom w:val="0"/>
          <w:divBdr>
            <w:top w:val="none" w:sz="0" w:space="0" w:color="auto"/>
            <w:left w:val="none" w:sz="0" w:space="0" w:color="auto"/>
            <w:bottom w:val="none" w:sz="0" w:space="0" w:color="auto"/>
            <w:right w:val="none" w:sz="0" w:space="0" w:color="auto"/>
          </w:divBdr>
        </w:div>
        <w:div w:id="720710564">
          <w:marLeft w:val="0"/>
          <w:marRight w:val="0"/>
          <w:marTop w:val="0"/>
          <w:marBottom w:val="0"/>
          <w:divBdr>
            <w:top w:val="none" w:sz="0" w:space="0" w:color="auto"/>
            <w:left w:val="none" w:sz="0" w:space="0" w:color="auto"/>
            <w:bottom w:val="none" w:sz="0" w:space="0" w:color="auto"/>
            <w:right w:val="none" w:sz="0" w:space="0" w:color="auto"/>
          </w:divBdr>
        </w:div>
        <w:div w:id="1445268628">
          <w:marLeft w:val="0"/>
          <w:marRight w:val="0"/>
          <w:marTop w:val="0"/>
          <w:marBottom w:val="0"/>
          <w:divBdr>
            <w:top w:val="none" w:sz="0" w:space="0" w:color="auto"/>
            <w:left w:val="none" w:sz="0" w:space="0" w:color="auto"/>
            <w:bottom w:val="none" w:sz="0" w:space="0" w:color="auto"/>
            <w:right w:val="none" w:sz="0" w:space="0" w:color="auto"/>
          </w:divBdr>
        </w:div>
        <w:div w:id="385757399">
          <w:marLeft w:val="0"/>
          <w:marRight w:val="0"/>
          <w:marTop w:val="0"/>
          <w:marBottom w:val="0"/>
          <w:divBdr>
            <w:top w:val="none" w:sz="0" w:space="0" w:color="auto"/>
            <w:left w:val="none" w:sz="0" w:space="0" w:color="auto"/>
            <w:bottom w:val="none" w:sz="0" w:space="0" w:color="auto"/>
            <w:right w:val="none" w:sz="0" w:space="0" w:color="auto"/>
          </w:divBdr>
        </w:div>
        <w:div w:id="1012222340">
          <w:marLeft w:val="0"/>
          <w:marRight w:val="0"/>
          <w:marTop w:val="0"/>
          <w:marBottom w:val="0"/>
          <w:divBdr>
            <w:top w:val="none" w:sz="0" w:space="0" w:color="auto"/>
            <w:left w:val="none" w:sz="0" w:space="0" w:color="auto"/>
            <w:bottom w:val="none" w:sz="0" w:space="0" w:color="auto"/>
            <w:right w:val="none" w:sz="0" w:space="0" w:color="auto"/>
          </w:divBdr>
        </w:div>
        <w:div w:id="1896503736">
          <w:marLeft w:val="0"/>
          <w:marRight w:val="0"/>
          <w:marTop w:val="0"/>
          <w:marBottom w:val="0"/>
          <w:divBdr>
            <w:top w:val="none" w:sz="0" w:space="0" w:color="auto"/>
            <w:left w:val="none" w:sz="0" w:space="0" w:color="auto"/>
            <w:bottom w:val="none" w:sz="0" w:space="0" w:color="auto"/>
            <w:right w:val="none" w:sz="0" w:space="0" w:color="auto"/>
          </w:divBdr>
        </w:div>
        <w:div w:id="2121685327">
          <w:marLeft w:val="0"/>
          <w:marRight w:val="0"/>
          <w:marTop w:val="0"/>
          <w:marBottom w:val="0"/>
          <w:divBdr>
            <w:top w:val="none" w:sz="0" w:space="0" w:color="auto"/>
            <w:left w:val="none" w:sz="0" w:space="0" w:color="auto"/>
            <w:bottom w:val="none" w:sz="0" w:space="0" w:color="auto"/>
            <w:right w:val="none" w:sz="0" w:space="0" w:color="auto"/>
          </w:divBdr>
        </w:div>
        <w:div w:id="1068307305">
          <w:marLeft w:val="0"/>
          <w:marRight w:val="0"/>
          <w:marTop w:val="0"/>
          <w:marBottom w:val="0"/>
          <w:divBdr>
            <w:top w:val="none" w:sz="0" w:space="0" w:color="auto"/>
            <w:left w:val="none" w:sz="0" w:space="0" w:color="auto"/>
            <w:bottom w:val="none" w:sz="0" w:space="0" w:color="auto"/>
            <w:right w:val="none" w:sz="0" w:space="0" w:color="auto"/>
          </w:divBdr>
        </w:div>
        <w:div w:id="926184528">
          <w:marLeft w:val="0"/>
          <w:marRight w:val="0"/>
          <w:marTop w:val="0"/>
          <w:marBottom w:val="0"/>
          <w:divBdr>
            <w:top w:val="none" w:sz="0" w:space="0" w:color="auto"/>
            <w:left w:val="none" w:sz="0" w:space="0" w:color="auto"/>
            <w:bottom w:val="none" w:sz="0" w:space="0" w:color="auto"/>
            <w:right w:val="none" w:sz="0" w:space="0" w:color="auto"/>
          </w:divBdr>
        </w:div>
        <w:div w:id="1184199298">
          <w:marLeft w:val="0"/>
          <w:marRight w:val="0"/>
          <w:marTop w:val="0"/>
          <w:marBottom w:val="0"/>
          <w:divBdr>
            <w:top w:val="none" w:sz="0" w:space="0" w:color="auto"/>
            <w:left w:val="none" w:sz="0" w:space="0" w:color="auto"/>
            <w:bottom w:val="none" w:sz="0" w:space="0" w:color="auto"/>
            <w:right w:val="none" w:sz="0" w:space="0" w:color="auto"/>
          </w:divBdr>
        </w:div>
        <w:div w:id="478347747">
          <w:marLeft w:val="0"/>
          <w:marRight w:val="0"/>
          <w:marTop w:val="0"/>
          <w:marBottom w:val="0"/>
          <w:divBdr>
            <w:top w:val="none" w:sz="0" w:space="0" w:color="auto"/>
            <w:left w:val="none" w:sz="0" w:space="0" w:color="auto"/>
            <w:bottom w:val="none" w:sz="0" w:space="0" w:color="auto"/>
            <w:right w:val="none" w:sz="0" w:space="0" w:color="auto"/>
          </w:divBdr>
        </w:div>
        <w:div w:id="1997494438">
          <w:marLeft w:val="0"/>
          <w:marRight w:val="0"/>
          <w:marTop w:val="0"/>
          <w:marBottom w:val="0"/>
          <w:divBdr>
            <w:top w:val="none" w:sz="0" w:space="0" w:color="auto"/>
            <w:left w:val="none" w:sz="0" w:space="0" w:color="auto"/>
            <w:bottom w:val="none" w:sz="0" w:space="0" w:color="auto"/>
            <w:right w:val="none" w:sz="0" w:space="0" w:color="auto"/>
          </w:divBdr>
        </w:div>
        <w:div w:id="66003809">
          <w:marLeft w:val="0"/>
          <w:marRight w:val="0"/>
          <w:marTop w:val="0"/>
          <w:marBottom w:val="0"/>
          <w:divBdr>
            <w:top w:val="none" w:sz="0" w:space="0" w:color="auto"/>
            <w:left w:val="none" w:sz="0" w:space="0" w:color="auto"/>
            <w:bottom w:val="none" w:sz="0" w:space="0" w:color="auto"/>
            <w:right w:val="none" w:sz="0" w:space="0" w:color="auto"/>
          </w:divBdr>
        </w:div>
        <w:div w:id="1548490786">
          <w:marLeft w:val="0"/>
          <w:marRight w:val="0"/>
          <w:marTop w:val="0"/>
          <w:marBottom w:val="0"/>
          <w:divBdr>
            <w:top w:val="none" w:sz="0" w:space="0" w:color="auto"/>
            <w:left w:val="none" w:sz="0" w:space="0" w:color="auto"/>
            <w:bottom w:val="none" w:sz="0" w:space="0" w:color="auto"/>
            <w:right w:val="none" w:sz="0" w:space="0" w:color="auto"/>
          </w:divBdr>
        </w:div>
        <w:div w:id="1808432913">
          <w:marLeft w:val="0"/>
          <w:marRight w:val="0"/>
          <w:marTop w:val="0"/>
          <w:marBottom w:val="0"/>
          <w:divBdr>
            <w:top w:val="none" w:sz="0" w:space="0" w:color="auto"/>
            <w:left w:val="none" w:sz="0" w:space="0" w:color="auto"/>
            <w:bottom w:val="none" w:sz="0" w:space="0" w:color="auto"/>
            <w:right w:val="none" w:sz="0" w:space="0" w:color="auto"/>
          </w:divBdr>
        </w:div>
        <w:div w:id="1487480005">
          <w:marLeft w:val="0"/>
          <w:marRight w:val="0"/>
          <w:marTop w:val="0"/>
          <w:marBottom w:val="0"/>
          <w:divBdr>
            <w:top w:val="none" w:sz="0" w:space="0" w:color="auto"/>
            <w:left w:val="none" w:sz="0" w:space="0" w:color="auto"/>
            <w:bottom w:val="none" w:sz="0" w:space="0" w:color="auto"/>
            <w:right w:val="none" w:sz="0" w:space="0" w:color="auto"/>
          </w:divBdr>
        </w:div>
        <w:div w:id="565147245">
          <w:marLeft w:val="0"/>
          <w:marRight w:val="0"/>
          <w:marTop w:val="0"/>
          <w:marBottom w:val="0"/>
          <w:divBdr>
            <w:top w:val="none" w:sz="0" w:space="0" w:color="auto"/>
            <w:left w:val="none" w:sz="0" w:space="0" w:color="auto"/>
            <w:bottom w:val="none" w:sz="0" w:space="0" w:color="auto"/>
            <w:right w:val="none" w:sz="0" w:space="0" w:color="auto"/>
          </w:divBdr>
        </w:div>
        <w:div w:id="1468429663">
          <w:marLeft w:val="0"/>
          <w:marRight w:val="0"/>
          <w:marTop w:val="0"/>
          <w:marBottom w:val="0"/>
          <w:divBdr>
            <w:top w:val="none" w:sz="0" w:space="0" w:color="auto"/>
            <w:left w:val="none" w:sz="0" w:space="0" w:color="auto"/>
            <w:bottom w:val="none" w:sz="0" w:space="0" w:color="auto"/>
            <w:right w:val="none" w:sz="0" w:space="0" w:color="auto"/>
          </w:divBdr>
        </w:div>
        <w:div w:id="1716197224">
          <w:marLeft w:val="0"/>
          <w:marRight w:val="0"/>
          <w:marTop w:val="0"/>
          <w:marBottom w:val="0"/>
          <w:divBdr>
            <w:top w:val="none" w:sz="0" w:space="0" w:color="auto"/>
            <w:left w:val="none" w:sz="0" w:space="0" w:color="auto"/>
            <w:bottom w:val="none" w:sz="0" w:space="0" w:color="auto"/>
            <w:right w:val="none" w:sz="0" w:space="0" w:color="auto"/>
          </w:divBdr>
        </w:div>
        <w:div w:id="1962955465">
          <w:marLeft w:val="0"/>
          <w:marRight w:val="0"/>
          <w:marTop w:val="0"/>
          <w:marBottom w:val="0"/>
          <w:divBdr>
            <w:top w:val="none" w:sz="0" w:space="0" w:color="auto"/>
            <w:left w:val="none" w:sz="0" w:space="0" w:color="auto"/>
            <w:bottom w:val="none" w:sz="0" w:space="0" w:color="auto"/>
            <w:right w:val="none" w:sz="0" w:space="0" w:color="auto"/>
          </w:divBdr>
        </w:div>
        <w:div w:id="208535573">
          <w:marLeft w:val="0"/>
          <w:marRight w:val="0"/>
          <w:marTop w:val="0"/>
          <w:marBottom w:val="0"/>
          <w:divBdr>
            <w:top w:val="none" w:sz="0" w:space="0" w:color="auto"/>
            <w:left w:val="none" w:sz="0" w:space="0" w:color="auto"/>
            <w:bottom w:val="none" w:sz="0" w:space="0" w:color="auto"/>
            <w:right w:val="none" w:sz="0" w:space="0" w:color="auto"/>
          </w:divBdr>
        </w:div>
        <w:div w:id="856579698">
          <w:marLeft w:val="0"/>
          <w:marRight w:val="0"/>
          <w:marTop w:val="0"/>
          <w:marBottom w:val="0"/>
          <w:divBdr>
            <w:top w:val="none" w:sz="0" w:space="0" w:color="auto"/>
            <w:left w:val="none" w:sz="0" w:space="0" w:color="auto"/>
            <w:bottom w:val="none" w:sz="0" w:space="0" w:color="auto"/>
            <w:right w:val="none" w:sz="0" w:space="0" w:color="auto"/>
          </w:divBdr>
        </w:div>
        <w:div w:id="1641037182">
          <w:marLeft w:val="0"/>
          <w:marRight w:val="0"/>
          <w:marTop w:val="0"/>
          <w:marBottom w:val="0"/>
          <w:divBdr>
            <w:top w:val="none" w:sz="0" w:space="0" w:color="auto"/>
            <w:left w:val="none" w:sz="0" w:space="0" w:color="auto"/>
            <w:bottom w:val="none" w:sz="0" w:space="0" w:color="auto"/>
            <w:right w:val="none" w:sz="0" w:space="0" w:color="auto"/>
          </w:divBdr>
        </w:div>
        <w:div w:id="629676713">
          <w:marLeft w:val="0"/>
          <w:marRight w:val="0"/>
          <w:marTop w:val="0"/>
          <w:marBottom w:val="0"/>
          <w:divBdr>
            <w:top w:val="none" w:sz="0" w:space="0" w:color="auto"/>
            <w:left w:val="none" w:sz="0" w:space="0" w:color="auto"/>
            <w:bottom w:val="none" w:sz="0" w:space="0" w:color="auto"/>
            <w:right w:val="none" w:sz="0" w:space="0" w:color="auto"/>
          </w:divBdr>
        </w:div>
        <w:div w:id="1475680574">
          <w:marLeft w:val="0"/>
          <w:marRight w:val="0"/>
          <w:marTop w:val="0"/>
          <w:marBottom w:val="0"/>
          <w:divBdr>
            <w:top w:val="none" w:sz="0" w:space="0" w:color="auto"/>
            <w:left w:val="none" w:sz="0" w:space="0" w:color="auto"/>
            <w:bottom w:val="none" w:sz="0" w:space="0" w:color="auto"/>
            <w:right w:val="none" w:sz="0" w:space="0" w:color="auto"/>
          </w:divBdr>
        </w:div>
        <w:div w:id="1871457534">
          <w:marLeft w:val="0"/>
          <w:marRight w:val="0"/>
          <w:marTop w:val="0"/>
          <w:marBottom w:val="0"/>
          <w:divBdr>
            <w:top w:val="none" w:sz="0" w:space="0" w:color="auto"/>
            <w:left w:val="none" w:sz="0" w:space="0" w:color="auto"/>
            <w:bottom w:val="none" w:sz="0" w:space="0" w:color="auto"/>
            <w:right w:val="none" w:sz="0" w:space="0" w:color="auto"/>
          </w:divBdr>
        </w:div>
        <w:div w:id="842858795">
          <w:marLeft w:val="0"/>
          <w:marRight w:val="0"/>
          <w:marTop w:val="0"/>
          <w:marBottom w:val="0"/>
          <w:divBdr>
            <w:top w:val="none" w:sz="0" w:space="0" w:color="auto"/>
            <w:left w:val="none" w:sz="0" w:space="0" w:color="auto"/>
            <w:bottom w:val="none" w:sz="0" w:space="0" w:color="auto"/>
            <w:right w:val="none" w:sz="0" w:space="0" w:color="auto"/>
          </w:divBdr>
        </w:div>
        <w:div w:id="1196312196">
          <w:marLeft w:val="0"/>
          <w:marRight w:val="0"/>
          <w:marTop w:val="0"/>
          <w:marBottom w:val="0"/>
          <w:divBdr>
            <w:top w:val="none" w:sz="0" w:space="0" w:color="auto"/>
            <w:left w:val="none" w:sz="0" w:space="0" w:color="auto"/>
            <w:bottom w:val="none" w:sz="0" w:space="0" w:color="auto"/>
            <w:right w:val="none" w:sz="0" w:space="0" w:color="auto"/>
          </w:divBdr>
        </w:div>
        <w:div w:id="1683508239">
          <w:marLeft w:val="0"/>
          <w:marRight w:val="0"/>
          <w:marTop w:val="0"/>
          <w:marBottom w:val="0"/>
          <w:divBdr>
            <w:top w:val="none" w:sz="0" w:space="0" w:color="auto"/>
            <w:left w:val="none" w:sz="0" w:space="0" w:color="auto"/>
            <w:bottom w:val="none" w:sz="0" w:space="0" w:color="auto"/>
            <w:right w:val="none" w:sz="0" w:space="0" w:color="auto"/>
          </w:divBdr>
        </w:div>
        <w:div w:id="200168634">
          <w:marLeft w:val="0"/>
          <w:marRight w:val="0"/>
          <w:marTop w:val="0"/>
          <w:marBottom w:val="0"/>
          <w:divBdr>
            <w:top w:val="none" w:sz="0" w:space="0" w:color="auto"/>
            <w:left w:val="none" w:sz="0" w:space="0" w:color="auto"/>
            <w:bottom w:val="none" w:sz="0" w:space="0" w:color="auto"/>
            <w:right w:val="none" w:sz="0" w:space="0" w:color="auto"/>
          </w:divBdr>
        </w:div>
        <w:div w:id="104278558">
          <w:marLeft w:val="0"/>
          <w:marRight w:val="0"/>
          <w:marTop w:val="0"/>
          <w:marBottom w:val="0"/>
          <w:divBdr>
            <w:top w:val="none" w:sz="0" w:space="0" w:color="auto"/>
            <w:left w:val="none" w:sz="0" w:space="0" w:color="auto"/>
            <w:bottom w:val="none" w:sz="0" w:space="0" w:color="auto"/>
            <w:right w:val="none" w:sz="0" w:space="0" w:color="auto"/>
          </w:divBdr>
        </w:div>
        <w:div w:id="1268737464">
          <w:marLeft w:val="0"/>
          <w:marRight w:val="0"/>
          <w:marTop w:val="0"/>
          <w:marBottom w:val="0"/>
          <w:divBdr>
            <w:top w:val="none" w:sz="0" w:space="0" w:color="auto"/>
            <w:left w:val="none" w:sz="0" w:space="0" w:color="auto"/>
            <w:bottom w:val="none" w:sz="0" w:space="0" w:color="auto"/>
            <w:right w:val="none" w:sz="0" w:space="0" w:color="auto"/>
          </w:divBdr>
        </w:div>
        <w:div w:id="1838495846">
          <w:marLeft w:val="0"/>
          <w:marRight w:val="0"/>
          <w:marTop w:val="0"/>
          <w:marBottom w:val="0"/>
          <w:divBdr>
            <w:top w:val="none" w:sz="0" w:space="0" w:color="auto"/>
            <w:left w:val="none" w:sz="0" w:space="0" w:color="auto"/>
            <w:bottom w:val="none" w:sz="0" w:space="0" w:color="auto"/>
            <w:right w:val="none" w:sz="0" w:space="0" w:color="auto"/>
          </w:divBdr>
        </w:div>
        <w:div w:id="1057320850">
          <w:marLeft w:val="0"/>
          <w:marRight w:val="0"/>
          <w:marTop w:val="0"/>
          <w:marBottom w:val="0"/>
          <w:divBdr>
            <w:top w:val="none" w:sz="0" w:space="0" w:color="auto"/>
            <w:left w:val="none" w:sz="0" w:space="0" w:color="auto"/>
            <w:bottom w:val="none" w:sz="0" w:space="0" w:color="auto"/>
            <w:right w:val="none" w:sz="0" w:space="0" w:color="auto"/>
          </w:divBdr>
        </w:div>
        <w:div w:id="1831481845">
          <w:marLeft w:val="0"/>
          <w:marRight w:val="0"/>
          <w:marTop w:val="0"/>
          <w:marBottom w:val="0"/>
          <w:divBdr>
            <w:top w:val="none" w:sz="0" w:space="0" w:color="auto"/>
            <w:left w:val="none" w:sz="0" w:space="0" w:color="auto"/>
            <w:bottom w:val="none" w:sz="0" w:space="0" w:color="auto"/>
            <w:right w:val="none" w:sz="0" w:space="0" w:color="auto"/>
          </w:divBdr>
        </w:div>
        <w:div w:id="293558412">
          <w:marLeft w:val="0"/>
          <w:marRight w:val="0"/>
          <w:marTop w:val="0"/>
          <w:marBottom w:val="0"/>
          <w:divBdr>
            <w:top w:val="none" w:sz="0" w:space="0" w:color="auto"/>
            <w:left w:val="none" w:sz="0" w:space="0" w:color="auto"/>
            <w:bottom w:val="none" w:sz="0" w:space="0" w:color="auto"/>
            <w:right w:val="none" w:sz="0" w:space="0" w:color="auto"/>
          </w:divBdr>
        </w:div>
        <w:div w:id="179662863">
          <w:marLeft w:val="0"/>
          <w:marRight w:val="0"/>
          <w:marTop w:val="0"/>
          <w:marBottom w:val="0"/>
          <w:divBdr>
            <w:top w:val="none" w:sz="0" w:space="0" w:color="auto"/>
            <w:left w:val="none" w:sz="0" w:space="0" w:color="auto"/>
            <w:bottom w:val="none" w:sz="0" w:space="0" w:color="auto"/>
            <w:right w:val="none" w:sz="0" w:space="0" w:color="auto"/>
          </w:divBdr>
        </w:div>
      </w:divsChild>
    </w:div>
    <w:div w:id="612591710">
      <w:bodyDiv w:val="1"/>
      <w:marLeft w:val="0"/>
      <w:marRight w:val="0"/>
      <w:marTop w:val="0"/>
      <w:marBottom w:val="0"/>
      <w:divBdr>
        <w:top w:val="none" w:sz="0" w:space="0" w:color="auto"/>
        <w:left w:val="none" w:sz="0" w:space="0" w:color="auto"/>
        <w:bottom w:val="none" w:sz="0" w:space="0" w:color="auto"/>
        <w:right w:val="none" w:sz="0" w:space="0" w:color="auto"/>
      </w:divBdr>
      <w:divsChild>
        <w:div w:id="2101636715">
          <w:marLeft w:val="0"/>
          <w:marRight w:val="0"/>
          <w:marTop w:val="0"/>
          <w:marBottom w:val="0"/>
          <w:divBdr>
            <w:top w:val="none" w:sz="0" w:space="0" w:color="auto"/>
            <w:left w:val="none" w:sz="0" w:space="0" w:color="auto"/>
            <w:bottom w:val="none" w:sz="0" w:space="0" w:color="auto"/>
            <w:right w:val="none" w:sz="0" w:space="0" w:color="auto"/>
          </w:divBdr>
        </w:div>
      </w:divsChild>
    </w:div>
    <w:div w:id="792138026">
      <w:bodyDiv w:val="1"/>
      <w:marLeft w:val="0"/>
      <w:marRight w:val="0"/>
      <w:marTop w:val="0"/>
      <w:marBottom w:val="0"/>
      <w:divBdr>
        <w:top w:val="none" w:sz="0" w:space="0" w:color="auto"/>
        <w:left w:val="none" w:sz="0" w:space="0" w:color="auto"/>
        <w:bottom w:val="none" w:sz="0" w:space="0" w:color="auto"/>
        <w:right w:val="none" w:sz="0" w:space="0" w:color="auto"/>
      </w:divBdr>
      <w:divsChild>
        <w:div w:id="822812986">
          <w:marLeft w:val="0"/>
          <w:marRight w:val="0"/>
          <w:marTop w:val="0"/>
          <w:marBottom w:val="0"/>
          <w:divBdr>
            <w:top w:val="none" w:sz="0" w:space="0" w:color="auto"/>
            <w:left w:val="none" w:sz="0" w:space="0" w:color="auto"/>
            <w:bottom w:val="none" w:sz="0" w:space="0" w:color="auto"/>
            <w:right w:val="none" w:sz="0" w:space="0" w:color="auto"/>
          </w:divBdr>
        </w:div>
        <w:div w:id="1064108089">
          <w:marLeft w:val="0"/>
          <w:marRight w:val="0"/>
          <w:marTop w:val="0"/>
          <w:marBottom w:val="0"/>
          <w:divBdr>
            <w:top w:val="none" w:sz="0" w:space="0" w:color="auto"/>
            <w:left w:val="none" w:sz="0" w:space="0" w:color="auto"/>
            <w:bottom w:val="none" w:sz="0" w:space="0" w:color="auto"/>
            <w:right w:val="none" w:sz="0" w:space="0" w:color="auto"/>
          </w:divBdr>
        </w:div>
        <w:div w:id="570893815">
          <w:marLeft w:val="0"/>
          <w:marRight w:val="0"/>
          <w:marTop w:val="0"/>
          <w:marBottom w:val="0"/>
          <w:divBdr>
            <w:top w:val="none" w:sz="0" w:space="0" w:color="auto"/>
            <w:left w:val="none" w:sz="0" w:space="0" w:color="auto"/>
            <w:bottom w:val="none" w:sz="0" w:space="0" w:color="auto"/>
            <w:right w:val="none" w:sz="0" w:space="0" w:color="auto"/>
          </w:divBdr>
        </w:div>
        <w:div w:id="2043508027">
          <w:marLeft w:val="0"/>
          <w:marRight w:val="0"/>
          <w:marTop w:val="0"/>
          <w:marBottom w:val="0"/>
          <w:divBdr>
            <w:top w:val="none" w:sz="0" w:space="0" w:color="auto"/>
            <w:left w:val="none" w:sz="0" w:space="0" w:color="auto"/>
            <w:bottom w:val="none" w:sz="0" w:space="0" w:color="auto"/>
            <w:right w:val="none" w:sz="0" w:space="0" w:color="auto"/>
          </w:divBdr>
        </w:div>
        <w:div w:id="209654086">
          <w:marLeft w:val="0"/>
          <w:marRight w:val="0"/>
          <w:marTop w:val="0"/>
          <w:marBottom w:val="0"/>
          <w:divBdr>
            <w:top w:val="none" w:sz="0" w:space="0" w:color="auto"/>
            <w:left w:val="none" w:sz="0" w:space="0" w:color="auto"/>
            <w:bottom w:val="none" w:sz="0" w:space="0" w:color="auto"/>
            <w:right w:val="none" w:sz="0" w:space="0" w:color="auto"/>
          </w:divBdr>
        </w:div>
        <w:div w:id="1005742127">
          <w:marLeft w:val="0"/>
          <w:marRight w:val="0"/>
          <w:marTop w:val="0"/>
          <w:marBottom w:val="0"/>
          <w:divBdr>
            <w:top w:val="none" w:sz="0" w:space="0" w:color="auto"/>
            <w:left w:val="none" w:sz="0" w:space="0" w:color="auto"/>
            <w:bottom w:val="none" w:sz="0" w:space="0" w:color="auto"/>
            <w:right w:val="none" w:sz="0" w:space="0" w:color="auto"/>
          </w:divBdr>
        </w:div>
        <w:div w:id="1984500825">
          <w:marLeft w:val="0"/>
          <w:marRight w:val="0"/>
          <w:marTop w:val="0"/>
          <w:marBottom w:val="0"/>
          <w:divBdr>
            <w:top w:val="none" w:sz="0" w:space="0" w:color="auto"/>
            <w:left w:val="none" w:sz="0" w:space="0" w:color="auto"/>
            <w:bottom w:val="none" w:sz="0" w:space="0" w:color="auto"/>
            <w:right w:val="none" w:sz="0" w:space="0" w:color="auto"/>
          </w:divBdr>
        </w:div>
        <w:div w:id="547494830">
          <w:marLeft w:val="0"/>
          <w:marRight w:val="0"/>
          <w:marTop w:val="0"/>
          <w:marBottom w:val="0"/>
          <w:divBdr>
            <w:top w:val="none" w:sz="0" w:space="0" w:color="auto"/>
            <w:left w:val="none" w:sz="0" w:space="0" w:color="auto"/>
            <w:bottom w:val="none" w:sz="0" w:space="0" w:color="auto"/>
            <w:right w:val="none" w:sz="0" w:space="0" w:color="auto"/>
          </w:divBdr>
        </w:div>
        <w:div w:id="2063018559">
          <w:marLeft w:val="0"/>
          <w:marRight w:val="0"/>
          <w:marTop w:val="0"/>
          <w:marBottom w:val="0"/>
          <w:divBdr>
            <w:top w:val="none" w:sz="0" w:space="0" w:color="auto"/>
            <w:left w:val="none" w:sz="0" w:space="0" w:color="auto"/>
            <w:bottom w:val="none" w:sz="0" w:space="0" w:color="auto"/>
            <w:right w:val="none" w:sz="0" w:space="0" w:color="auto"/>
          </w:divBdr>
        </w:div>
        <w:div w:id="1090472300">
          <w:marLeft w:val="0"/>
          <w:marRight w:val="0"/>
          <w:marTop w:val="0"/>
          <w:marBottom w:val="0"/>
          <w:divBdr>
            <w:top w:val="none" w:sz="0" w:space="0" w:color="auto"/>
            <w:left w:val="none" w:sz="0" w:space="0" w:color="auto"/>
            <w:bottom w:val="none" w:sz="0" w:space="0" w:color="auto"/>
            <w:right w:val="none" w:sz="0" w:space="0" w:color="auto"/>
          </w:divBdr>
        </w:div>
        <w:div w:id="1219324605">
          <w:marLeft w:val="0"/>
          <w:marRight w:val="0"/>
          <w:marTop w:val="0"/>
          <w:marBottom w:val="0"/>
          <w:divBdr>
            <w:top w:val="none" w:sz="0" w:space="0" w:color="auto"/>
            <w:left w:val="none" w:sz="0" w:space="0" w:color="auto"/>
            <w:bottom w:val="none" w:sz="0" w:space="0" w:color="auto"/>
            <w:right w:val="none" w:sz="0" w:space="0" w:color="auto"/>
          </w:divBdr>
        </w:div>
        <w:div w:id="112602446">
          <w:marLeft w:val="0"/>
          <w:marRight w:val="0"/>
          <w:marTop w:val="0"/>
          <w:marBottom w:val="0"/>
          <w:divBdr>
            <w:top w:val="none" w:sz="0" w:space="0" w:color="auto"/>
            <w:left w:val="none" w:sz="0" w:space="0" w:color="auto"/>
            <w:bottom w:val="none" w:sz="0" w:space="0" w:color="auto"/>
            <w:right w:val="none" w:sz="0" w:space="0" w:color="auto"/>
          </w:divBdr>
        </w:div>
        <w:div w:id="350841718">
          <w:marLeft w:val="0"/>
          <w:marRight w:val="0"/>
          <w:marTop w:val="0"/>
          <w:marBottom w:val="0"/>
          <w:divBdr>
            <w:top w:val="none" w:sz="0" w:space="0" w:color="auto"/>
            <w:left w:val="none" w:sz="0" w:space="0" w:color="auto"/>
            <w:bottom w:val="none" w:sz="0" w:space="0" w:color="auto"/>
            <w:right w:val="none" w:sz="0" w:space="0" w:color="auto"/>
          </w:divBdr>
        </w:div>
        <w:div w:id="839082338">
          <w:marLeft w:val="0"/>
          <w:marRight w:val="0"/>
          <w:marTop w:val="0"/>
          <w:marBottom w:val="0"/>
          <w:divBdr>
            <w:top w:val="none" w:sz="0" w:space="0" w:color="auto"/>
            <w:left w:val="none" w:sz="0" w:space="0" w:color="auto"/>
            <w:bottom w:val="none" w:sz="0" w:space="0" w:color="auto"/>
            <w:right w:val="none" w:sz="0" w:space="0" w:color="auto"/>
          </w:divBdr>
        </w:div>
        <w:div w:id="218826242">
          <w:marLeft w:val="0"/>
          <w:marRight w:val="0"/>
          <w:marTop w:val="0"/>
          <w:marBottom w:val="0"/>
          <w:divBdr>
            <w:top w:val="none" w:sz="0" w:space="0" w:color="auto"/>
            <w:left w:val="none" w:sz="0" w:space="0" w:color="auto"/>
            <w:bottom w:val="none" w:sz="0" w:space="0" w:color="auto"/>
            <w:right w:val="none" w:sz="0" w:space="0" w:color="auto"/>
          </w:divBdr>
        </w:div>
        <w:div w:id="253516221">
          <w:marLeft w:val="0"/>
          <w:marRight w:val="0"/>
          <w:marTop w:val="0"/>
          <w:marBottom w:val="0"/>
          <w:divBdr>
            <w:top w:val="none" w:sz="0" w:space="0" w:color="auto"/>
            <w:left w:val="none" w:sz="0" w:space="0" w:color="auto"/>
            <w:bottom w:val="none" w:sz="0" w:space="0" w:color="auto"/>
            <w:right w:val="none" w:sz="0" w:space="0" w:color="auto"/>
          </w:divBdr>
        </w:div>
        <w:div w:id="1192493246">
          <w:marLeft w:val="0"/>
          <w:marRight w:val="0"/>
          <w:marTop w:val="0"/>
          <w:marBottom w:val="0"/>
          <w:divBdr>
            <w:top w:val="none" w:sz="0" w:space="0" w:color="auto"/>
            <w:left w:val="none" w:sz="0" w:space="0" w:color="auto"/>
            <w:bottom w:val="none" w:sz="0" w:space="0" w:color="auto"/>
            <w:right w:val="none" w:sz="0" w:space="0" w:color="auto"/>
          </w:divBdr>
        </w:div>
        <w:div w:id="234558637">
          <w:marLeft w:val="0"/>
          <w:marRight w:val="0"/>
          <w:marTop w:val="0"/>
          <w:marBottom w:val="0"/>
          <w:divBdr>
            <w:top w:val="none" w:sz="0" w:space="0" w:color="auto"/>
            <w:left w:val="none" w:sz="0" w:space="0" w:color="auto"/>
            <w:bottom w:val="none" w:sz="0" w:space="0" w:color="auto"/>
            <w:right w:val="none" w:sz="0" w:space="0" w:color="auto"/>
          </w:divBdr>
        </w:div>
        <w:div w:id="916861596">
          <w:marLeft w:val="0"/>
          <w:marRight w:val="0"/>
          <w:marTop w:val="0"/>
          <w:marBottom w:val="0"/>
          <w:divBdr>
            <w:top w:val="none" w:sz="0" w:space="0" w:color="auto"/>
            <w:left w:val="none" w:sz="0" w:space="0" w:color="auto"/>
            <w:bottom w:val="none" w:sz="0" w:space="0" w:color="auto"/>
            <w:right w:val="none" w:sz="0" w:space="0" w:color="auto"/>
          </w:divBdr>
        </w:div>
        <w:div w:id="522599529">
          <w:marLeft w:val="0"/>
          <w:marRight w:val="0"/>
          <w:marTop w:val="0"/>
          <w:marBottom w:val="0"/>
          <w:divBdr>
            <w:top w:val="none" w:sz="0" w:space="0" w:color="auto"/>
            <w:left w:val="none" w:sz="0" w:space="0" w:color="auto"/>
            <w:bottom w:val="none" w:sz="0" w:space="0" w:color="auto"/>
            <w:right w:val="none" w:sz="0" w:space="0" w:color="auto"/>
          </w:divBdr>
        </w:div>
        <w:div w:id="644161421">
          <w:marLeft w:val="0"/>
          <w:marRight w:val="0"/>
          <w:marTop w:val="0"/>
          <w:marBottom w:val="0"/>
          <w:divBdr>
            <w:top w:val="none" w:sz="0" w:space="0" w:color="auto"/>
            <w:left w:val="none" w:sz="0" w:space="0" w:color="auto"/>
            <w:bottom w:val="none" w:sz="0" w:space="0" w:color="auto"/>
            <w:right w:val="none" w:sz="0" w:space="0" w:color="auto"/>
          </w:divBdr>
        </w:div>
        <w:div w:id="1817647100">
          <w:marLeft w:val="0"/>
          <w:marRight w:val="0"/>
          <w:marTop w:val="0"/>
          <w:marBottom w:val="0"/>
          <w:divBdr>
            <w:top w:val="none" w:sz="0" w:space="0" w:color="auto"/>
            <w:left w:val="none" w:sz="0" w:space="0" w:color="auto"/>
            <w:bottom w:val="none" w:sz="0" w:space="0" w:color="auto"/>
            <w:right w:val="none" w:sz="0" w:space="0" w:color="auto"/>
          </w:divBdr>
        </w:div>
        <w:div w:id="1061514375">
          <w:marLeft w:val="0"/>
          <w:marRight w:val="0"/>
          <w:marTop w:val="0"/>
          <w:marBottom w:val="0"/>
          <w:divBdr>
            <w:top w:val="none" w:sz="0" w:space="0" w:color="auto"/>
            <w:left w:val="none" w:sz="0" w:space="0" w:color="auto"/>
            <w:bottom w:val="none" w:sz="0" w:space="0" w:color="auto"/>
            <w:right w:val="none" w:sz="0" w:space="0" w:color="auto"/>
          </w:divBdr>
        </w:div>
        <w:div w:id="409353047">
          <w:marLeft w:val="0"/>
          <w:marRight w:val="0"/>
          <w:marTop w:val="0"/>
          <w:marBottom w:val="0"/>
          <w:divBdr>
            <w:top w:val="none" w:sz="0" w:space="0" w:color="auto"/>
            <w:left w:val="none" w:sz="0" w:space="0" w:color="auto"/>
            <w:bottom w:val="none" w:sz="0" w:space="0" w:color="auto"/>
            <w:right w:val="none" w:sz="0" w:space="0" w:color="auto"/>
          </w:divBdr>
        </w:div>
        <w:div w:id="298536006">
          <w:marLeft w:val="0"/>
          <w:marRight w:val="0"/>
          <w:marTop w:val="0"/>
          <w:marBottom w:val="0"/>
          <w:divBdr>
            <w:top w:val="none" w:sz="0" w:space="0" w:color="auto"/>
            <w:left w:val="none" w:sz="0" w:space="0" w:color="auto"/>
            <w:bottom w:val="none" w:sz="0" w:space="0" w:color="auto"/>
            <w:right w:val="none" w:sz="0" w:space="0" w:color="auto"/>
          </w:divBdr>
        </w:div>
        <w:div w:id="1161241718">
          <w:marLeft w:val="0"/>
          <w:marRight w:val="0"/>
          <w:marTop w:val="0"/>
          <w:marBottom w:val="0"/>
          <w:divBdr>
            <w:top w:val="none" w:sz="0" w:space="0" w:color="auto"/>
            <w:left w:val="none" w:sz="0" w:space="0" w:color="auto"/>
            <w:bottom w:val="none" w:sz="0" w:space="0" w:color="auto"/>
            <w:right w:val="none" w:sz="0" w:space="0" w:color="auto"/>
          </w:divBdr>
        </w:div>
        <w:div w:id="1701202033">
          <w:marLeft w:val="0"/>
          <w:marRight w:val="0"/>
          <w:marTop w:val="0"/>
          <w:marBottom w:val="0"/>
          <w:divBdr>
            <w:top w:val="none" w:sz="0" w:space="0" w:color="auto"/>
            <w:left w:val="none" w:sz="0" w:space="0" w:color="auto"/>
            <w:bottom w:val="none" w:sz="0" w:space="0" w:color="auto"/>
            <w:right w:val="none" w:sz="0" w:space="0" w:color="auto"/>
          </w:divBdr>
        </w:div>
        <w:div w:id="935283616">
          <w:marLeft w:val="0"/>
          <w:marRight w:val="0"/>
          <w:marTop w:val="0"/>
          <w:marBottom w:val="0"/>
          <w:divBdr>
            <w:top w:val="none" w:sz="0" w:space="0" w:color="auto"/>
            <w:left w:val="none" w:sz="0" w:space="0" w:color="auto"/>
            <w:bottom w:val="none" w:sz="0" w:space="0" w:color="auto"/>
            <w:right w:val="none" w:sz="0" w:space="0" w:color="auto"/>
          </w:divBdr>
        </w:div>
        <w:div w:id="1686591753">
          <w:marLeft w:val="0"/>
          <w:marRight w:val="0"/>
          <w:marTop w:val="0"/>
          <w:marBottom w:val="0"/>
          <w:divBdr>
            <w:top w:val="none" w:sz="0" w:space="0" w:color="auto"/>
            <w:left w:val="none" w:sz="0" w:space="0" w:color="auto"/>
            <w:bottom w:val="none" w:sz="0" w:space="0" w:color="auto"/>
            <w:right w:val="none" w:sz="0" w:space="0" w:color="auto"/>
          </w:divBdr>
        </w:div>
        <w:div w:id="1300571248">
          <w:marLeft w:val="0"/>
          <w:marRight w:val="0"/>
          <w:marTop w:val="0"/>
          <w:marBottom w:val="0"/>
          <w:divBdr>
            <w:top w:val="none" w:sz="0" w:space="0" w:color="auto"/>
            <w:left w:val="none" w:sz="0" w:space="0" w:color="auto"/>
            <w:bottom w:val="none" w:sz="0" w:space="0" w:color="auto"/>
            <w:right w:val="none" w:sz="0" w:space="0" w:color="auto"/>
          </w:divBdr>
        </w:div>
        <w:div w:id="2015329614">
          <w:marLeft w:val="0"/>
          <w:marRight w:val="0"/>
          <w:marTop w:val="0"/>
          <w:marBottom w:val="0"/>
          <w:divBdr>
            <w:top w:val="none" w:sz="0" w:space="0" w:color="auto"/>
            <w:left w:val="none" w:sz="0" w:space="0" w:color="auto"/>
            <w:bottom w:val="none" w:sz="0" w:space="0" w:color="auto"/>
            <w:right w:val="none" w:sz="0" w:space="0" w:color="auto"/>
          </w:divBdr>
        </w:div>
        <w:div w:id="1474788803">
          <w:marLeft w:val="0"/>
          <w:marRight w:val="0"/>
          <w:marTop w:val="0"/>
          <w:marBottom w:val="0"/>
          <w:divBdr>
            <w:top w:val="none" w:sz="0" w:space="0" w:color="auto"/>
            <w:left w:val="none" w:sz="0" w:space="0" w:color="auto"/>
            <w:bottom w:val="none" w:sz="0" w:space="0" w:color="auto"/>
            <w:right w:val="none" w:sz="0" w:space="0" w:color="auto"/>
          </w:divBdr>
        </w:div>
        <w:div w:id="1493523680">
          <w:marLeft w:val="0"/>
          <w:marRight w:val="0"/>
          <w:marTop w:val="0"/>
          <w:marBottom w:val="0"/>
          <w:divBdr>
            <w:top w:val="none" w:sz="0" w:space="0" w:color="auto"/>
            <w:left w:val="none" w:sz="0" w:space="0" w:color="auto"/>
            <w:bottom w:val="none" w:sz="0" w:space="0" w:color="auto"/>
            <w:right w:val="none" w:sz="0" w:space="0" w:color="auto"/>
          </w:divBdr>
        </w:div>
        <w:div w:id="777021786">
          <w:marLeft w:val="0"/>
          <w:marRight w:val="0"/>
          <w:marTop w:val="0"/>
          <w:marBottom w:val="0"/>
          <w:divBdr>
            <w:top w:val="none" w:sz="0" w:space="0" w:color="auto"/>
            <w:left w:val="none" w:sz="0" w:space="0" w:color="auto"/>
            <w:bottom w:val="none" w:sz="0" w:space="0" w:color="auto"/>
            <w:right w:val="none" w:sz="0" w:space="0" w:color="auto"/>
          </w:divBdr>
        </w:div>
        <w:div w:id="1186797335">
          <w:marLeft w:val="0"/>
          <w:marRight w:val="0"/>
          <w:marTop w:val="0"/>
          <w:marBottom w:val="0"/>
          <w:divBdr>
            <w:top w:val="none" w:sz="0" w:space="0" w:color="auto"/>
            <w:left w:val="none" w:sz="0" w:space="0" w:color="auto"/>
            <w:bottom w:val="none" w:sz="0" w:space="0" w:color="auto"/>
            <w:right w:val="none" w:sz="0" w:space="0" w:color="auto"/>
          </w:divBdr>
        </w:div>
        <w:div w:id="1249919668">
          <w:marLeft w:val="0"/>
          <w:marRight w:val="0"/>
          <w:marTop w:val="0"/>
          <w:marBottom w:val="0"/>
          <w:divBdr>
            <w:top w:val="none" w:sz="0" w:space="0" w:color="auto"/>
            <w:left w:val="none" w:sz="0" w:space="0" w:color="auto"/>
            <w:bottom w:val="none" w:sz="0" w:space="0" w:color="auto"/>
            <w:right w:val="none" w:sz="0" w:space="0" w:color="auto"/>
          </w:divBdr>
        </w:div>
        <w:div w:id="188422429">
          <w:marLeft w:val="0"/>
          <w:marRight w:val="0"/>
          <w:marTop w:val="0"/>
          <w:marBottom w:val="0"/>
          <w:divBdr>
            <w:top w:val="none" w:sz="0" w:space="0" w:color="auto"/>
            <w:left w:val="none" w:sz="0" w:space="0" w:color="auto"/>
            <w:bottom w:val="none" w:sz="0" w:space="0" w:color="auto"/>
            <w:right w:val="none" w:sz="0" w:space="0" w:color="auto"/>
          </w:divBdr>
        </w:div>
        <w:div w:id="1952394604">
          <w:marLeft w:val="0"/>
          <w:marRight w:val="0"/>
          <w:marTop w:val="0"/>
          <w:marBottom w:val="0"/>
          <w:divBdr>
            <w:top w:val="none" w:sz="0" w:space="0" w:color="auto"/>
            <w:left w:val="none" w:sz="0" w:space="0" w:color="auto"/>
            <w:bottom w:val="none" w:sz="0" w:space="0" w:color="auto"/>
            <w:right w:val="none" w:sz="0" w:space="0" w:color="auto"/>
          </w:divBdr>
        </w:div>
        <w:div w:id="605116157">
          <w:marLeft w:val="0"/>
          <w:marRight w:val="0"/>
          <w:marTop w:val="0"/>
          <w:marBottom w:val="0"/>
          <w:divBdr>
            <w:top w:val="none" w:sz="0" w:space="0" w:color="auto"/>
            <w:left w:val="none" w:sz="0" w:space="0" w:color="auto"/>
            <w:bottom w:val="none" w:sz="0" w:space="0" w:color="auto"/>
            <w:right w:val="none" w:sz="0" w:space="0" w:color="auto"/>
          </w:divBdr>
        </w:div>
        <w:div w:id="1390302411">
          <w:marLeft w:val="0"/>
          <w:marRight w:val="0"/>
          <w:marTop w:val="0"/>
          <w:marBottom w:val="0"/>
          <w:divBdr>
            <w:top w:val="none" w:sz="0" w:space="0" w:color="auto"/>
            <w:left w:val="none" w:sz="0" w:space="0" w:color="auto"/>
            <w:bottom w:val="none" w:sz="0" w:space="0" w:color="auto"/>
            <w:right w:val="none" w:sz="0" w:space="0" w:color="auto"/>
          </w:divBdr>
        </w:div>
        <w:div w:id="452133893">
          <w:marLeft w:val="0"/>
          <w:marRight w:val="0"/>
          <w:marTop w:val="0"/>
          <w:marBottom w:val="0"/>
          <w:divBdr>
            <w:top w:val="none" w:sz="0" w:space="0" w:color="auto"/>
            <w:left w:val="none" w:sz="0" w:space="0" w:color="auto"/>
            <w:bottom w:val="none" w:sz="0" w:space="0" w:color="auto"/>
            <w:right w:val="none" w:sz="0" w:space="0" w:color="auto"/>
          </w:divBdr>
        </w:div>
        <w:div w:id="1195263621">
          <w:marLeft w:val="0"/>
          <w:marRight w:val="0"/>
          <w:marTop w:val="0"/>
          <w:marBottom w:val="0"/>
          <w:divBdr>
            <w:top w:val="none" w:sz="0" w:space="0" w:color="auto"/>
            <w:left w:val="none" w:sz="0" w:space="0" w:color="auto"/>
            <w:bottom w:val="none" w:sz="0" w:space="0" w:color="auto"/>
            <w:right w:val="none" w:sz="0" w:space="0" w:color="auto"/>
          </w:divBdr>
        </w:div>
        <w:div w:id="27878330">
          <w:marLeft w:val="0"/>
          <w:marRight w:val="0"/>
          <w:marTop w:val="0"/>
          <w:marBottom w:val="0"/>
          <w:divBdr>
            <w:top w:val="none" w:sz="0" w:space="0" w:color="auto"/>
            <w:left w:val="none" w:sz="0" w:space="0" w:color="auto"/>
            <w:bottom w:val="none" w:sz="0" w:space="0" w:color="auto"/>
            <w:right w:val="none" w:sz="0" w:space="0" w:color="auto"/>
          </w:divBdr>
        </w:div>
        <w:div w:id="256059004">
          <w:marLeft w:val="0"/>
          <w:marRight w:val="0"/>
          <w:marTop w:val="0"/>
          <w:marBottom w:val="0"/>
          <w:divBdr>
            <w:top w:val="none" w:sz="0" w:space="0" w:color="auto"/>
            <w:left w:val="none" w:sz="0" w:space="0" w:color="auto"/>
            <w:bottom w:val="none" w:sz="0" w:space="0" w:color="auto"/>
            <w:right w:val="none" w:sz="0" w:space="0" w:color="auto"/>
          </w:divBdr>
        </w:div>
        <w:div w:id="78213838">
          <w:marLeft w:val="0"/>
          <w:marRight w:val="0"/>
          <w:marTop w:val="0"/>
          <w:marBottom w:val="0"/>
          <w:divBdr>
            <w:top w:val="none" w:sz="0" w:space="0" w:color="auto"/>
            <w:left w:val="none" w:sz="0" w:space="0" w:color="auto"/>
            <w:bottom w:val="none" w:sz="0" w:space="0" w:color="auto"/>
            <w:right w:val="none" w:sz="0" w:space="0" w:color="auto"/>
          </w:divBdr>
        </w:div>
        <w:div w:id="1887915040">
          <w:marLeft w:val="0"/>
          <w:marRight w:val="0"/>
          <w:marTop w:val="0"/>
          <w:marBottom w:val="0"/>
          <w:divBdr>
            <w:top w:val="none" w:sz="0" w:space="0" w:color="auto"/>
            <w:left w:val="none" w:sz="0" w:space="0" w:color="auto"/>
            <w:bottom w:val="none" w:sz="0" w:space="0" w:color="auto"/>
            <w:right w:val="none" w:sz="0" w:space="0" w:color="auto"/>
          </w:divBdr>
        </w:div>
        <w:div w:id="55327171">
          <w:marLeft w:val="0"/>
          <w:marRight w:val="0"/>
          <w:marTop w:val="0"/>
          <w:marBottom w:val="0"/>
          <w:divBdr>
            <w:top w:val="none" w:sz="0" w:space="0" w:color="auto"/>
            <w:left w:val="none" w:sz="0" w:space="0" w:color="auto"/>
            <w:bottom w:val="none" w:sz="0" w:space="0" w:color="auto"/>
            <w:right w:val="none" w:sz="0" w:space="0" w:color="auto"/>
          </w:divBdr>
        </w:div>
        <w:div w:id="184759106">
          <w:marLeft w:val="0"/>
          <w:marRight w:val="0"/>
          <w:marTop w:val="0"/>
          <w:marBottom w:val="0"/>
          <w:divBdr>
            <w:top w:val="none" w:sz="0" w:space="0" w:color="auto"/>
            <w:left w:val="none" w:sz="0" w:space="0" w:color="auto"/>
            <w:bottom w:val="none" w:sz="0" w:space="0" w:color="auto"/>
            <w:right w:val="none" w:sz="0" w:space="0" w:color="auto"/>
          </w:divBdr>
        </w:div>
        <w:div w:id="115492429">
          <w:marLeft w:val="0"/>
          <w:marRight w:val="0"/>
          <w:marTop w:val="0"/>
          <w:marBottom w:val="0"/>
          <w:divBdr>
            <w:top w:val="none" w:sz="0" w:space="0" w:color="auto"/>
            <w:left w:val="none" w:sz="0" w:space="0" w:color="auto"/>
            <w:bottom w:val="none" w:sz="0" w:space="0" w:color="auto"/>
            <w:right w:val="none" w:sz="0" w:space="0" w:color="auto"/>
          </w:divBdr>
        </w:div>
        <w:div w:id="540173981">
          <w:marLeft w:val="0"/>
          <w:marRight w:val="0"/>
          <w:marTop w:val="0"/>
          <w:marBottom w:val="0"/>
          <w:divBdr>
            <w:top w:val="none" w:sz="0" w:space="0" w:color="auto"/>
            <w:left w:val="none" w:sz="0" w:space="0" w:color="auto"/>
            <w:bottom w:val="none" w:sz="0" w:space="0" w:color="auto"/>
            <w:right w:val="none" w:sz="0" w:space="0" w:color="auto"/>
          </w:divBdr>
        </w:div>
        <w:div w:id="1057096038">
          <w:marLeft w:val="0"/>
          <w:marRight w:val="0"/>
          <w:marTop w:val="0"/>
          <w:marBottom w:val="0"/>
          <w:divBdr>
            <w:top w:val="none" w:sz="0" w:space="0" w:color="auto"/>
            <w:left w:val="none" w:sz="0" w:space="0" w:color="auto"/>
            <w:bottom w:val="none" w:sz="0" w:space="0" w:color="auto"/>
            <w:right w:val="none" w:sz="0" w:space="0" w:color="auto"/>
          </w:divBdr>
        </w:div>
        <w:div w:id="756557439">
          <w:marLeft w:val="0"/>
          <w:marRight w:val="0"/>
          <w:marTop w:val="0"/>
          <w:marBottom w:val="0"/>
          <w:divBdr>
            <w:top w:val="none" w:sz="0" w:space="0" w:color="auto"/>
            <w:left w:val="none" w:sz="0" w:space="0" w:color="auto"/>
            <w:bottom w:val="none" w:sz="0" w:space="0" w:color="auto"/>
            <w:right w:val="none" w:sz="0" w:space="0" w:color="auto"/>
          </w:divBdr>
        </w:div>
        <w:div w:id="1966082512">
          <w:marLeft w:val="0"/>
          <w:marRight w:val="0"/>
          <w:marTop w:val="0"/>
          <w:marBottom w:val="0"/>
          <w:divBdr>
            <w:top w:val="none" w:sz="0" w:space="0" w:color="auto"/>
            <w:left w:val="none" w:sz="0" w:space="0" w:color="auto"/>
            <w:bottom w:val="none" w:sz="0" w:space="0" w:color="auto"/>
            <w:right w:val="none" w:sz="0" w:space="0" w:color="auto"/>
          </w:divBdr>
        </w:div>
        <w:div w:id="141506924">
          <w:marLeft w:val="0"/>
          <w:marRight w:val="0"/>
          <w:marTop w:val="0"/>
          <w:marBottom w:val="0"/>
          <w:divBdr>
            <w:top w:val="none" w:sz="0" w:space="0" w:color="auto"/>
            <w:left w:val="none" w:sz="0" w:space="0" w:color="auto"/>
            <w:bottom w:val="none" w:sz="0" w:space="0" w:color="auto"/>
            <w:right w:val="none" w:sz="0" w:space="0" w:color="auto"/>
          </w:divBdr>
        </w:div>
        <w:div w:id="2084645461">
          <w:marLeft w:val="0"/>
          <w:marRight w:val="0"/>
          <w:marTop w:val="0"/>
          <w:marBottom w:val="0"/>
          <w:divBdr>
            <w:top w:val="none" w:sz="0" w:space="0" w:color="auto"/>
            <w:left w:val="none" w:sz="0" w:space="0" w:color="auto"/>
            <w:bottom w:val="none" w:sz="0" w:space="0" w:color="auto"/>
            <w:right w:val="none" w:sz="0" w:space="0" w:color="auto"/>
          </w:divBdr>
        </w:div>
        <w:div w:id="339041908">
          <w:marLeft w:val="0"/>
          <w:marRight w:val="0"/>
          <w:marTop w:val="0"/>
          <w:marBottom w:val="0"/>
          <w:divBdr>
            <w:top w:val="none" w:sz="0" w:space="0" w:color="auto"/>
            <w:left w:val="none" w:sz="0" w:space="0" w:color="auto"/>
            <w:bottom w:val="none" w:sz="0" w:space="0" w:color="auto"/>
            <w:right w:val="none" w:sz="0" w:space="0" w:color="auto"/>
          </w:divBdr>
        </w:div>
        <w:div w:id="789516283">
          <w:marLeft w:val="0"/>
          <w:marRight w:val="0"/>
          <w:marTop w:val="0"/>
          <w:marBottom w:val="0"/>
          <w:divBdr>
            <w:top w:val="none" w:sz="0" w:space="0" w:color="auto"/>
            <w:left w:val="none" w:sz="0" w:space="0" w:color="auto"/>
            <w:bottom w:val="none" w:sz="0" w:space="0" w:color="auto"/>
            <w:right w:val="none" w:sz="0" w:space="0" w:color="auto"/>
          </w:divBdr>
        </w:div>
        <w:div w:id="717507464">
          <w:marLeft w:val="0"/>
          <w:marRight w:val="0"/>
          <w:marTop w:val="0"/>
          <w:marBottom w:val="0"/>
          <w:divBdr>
            <w:top w:val="none" w:sz="0" w:space="0" w:color="auto"/>
            <w:left w:val="none" w:sz="0" w:space="0" w:color="auto"/>
            <w:bottom w:val="none" w:sz="0" w:space="0" w:color="auto"/>
            <w:right w:val="none" w:sz="0" w:space="0" w:color="auto"/>
          </w:divBdr>
        </w:div>
        <w:div w:id="1187325456">
          <w:marLeft w:val="0"/>
          <w:marRight w:val="0"/>
          <w:marTop w:val="0"/>
          <w:marBottom w:val="0"/>
          <w:divBdr>
            <w:top w:val="none" w:sz="0" w:space="0" w:color="auto"/>
            <w:left w:val="none" w:sz="0" w:space="0" w:color="auto"/>
            <w:bottom w:val="none" w:sz="0" w:space="0" w:color="auto"/>
            <w:right w:val="none" w:sz="0" w:space="0" w:color="auto"/>
          </w:divBdr>
        </w:div>
        <w:div w:id="1371757340">
          <w:marLeft w:val="0"/>
          <w:marRight w:val="0"/>
          <w:marTop w:val="0"/>
          <w:marBottom w:val="0"/>
          <w:divBdr>
            <w:top w:val="none" w:sz="0" w:space="0" w:color="auto"/>
            <w:left w:val="none" w:sz="0" w:space="0" w:color="auto"/>
            <w:bottom w:val="none" w:sz="0" w:space="0" w:color="auto"/>
            <w:right w:val="none" w:sz="0" w:space="0" w:color="auto"/>
          </w:divBdr>
        </w:div>
        <w:div w:id="1865555022">
          <w:marLeft w:val="0"/>
          <w:marRight w:val="0"/>
          <w:marTop w:val="0"/>
          <w:marBottom w:val="0"/>
          <w:divBdr>
            <w:top w:val="none" w:sz="0" w:space="0" w:color="auto"/>
            <w:left w:val="none" w:sz="0" w:space="0" w:color="auto"/>
            <w:bottom w:val="none" w:sz="0" w:space="0" w:color="auto"/>
            <w:right w:val="none" w:sz="0" w:space="0" w:color="auto"/>
          </w:divBdr>
        </w:div>
        <w:div w:id="1867790642">
          <w:marLeft w:val="0"/>
          <w:marRight w:val="0"/>
          <w:marTop w:val="0"/>
          <w:marBottom w:val="0"/>
          <w:divBdr>
            <w:top w:val="none" w:sz="0" w:space="0" w:color="auto"/>
            <w:left w:val="none" w:sz="0" w:space="0" w:color="auto"/>
            <w:bottom w:val="none" w:sz="0" w:space="0" w:color="auto"/>
            <w:right w:val="none" w:sz="0" w:space="0" w:color="auto"/>
          </w:divBdr>
        </w:div>
        <w:div w:id="1455976230">
          <w:marLeft w:val="0"/>
          <w:marRight w:val="0"/>
          <w:marTop w:val="0"/>
          <w:marBottom w:val="0"/>
          <w:divBdr>
            <w:top w:val="none" w:sz="0" w:space="0" w:color="auto"/>
            <w:left w:val="none" w:sz="0" w:space="0" w:color="auto"/>
            <w:bottom w:val="none" w:sz="0" w:space="0" w:color="auto"/>
            <w:right w:val="none" w:sz="0" w:space="0" w:color="auto"/>
          </w:divBdr>
        </w:div>
        <w:div w:id="650601863">
          <w:marLeft w:val="0"/>
          <w:marRight w:val="0"/>
          <w:marTop w:val="0"/>
          <w:marBottom w:val="0"/>
          <w:divBdr>
            <w:top w:val="none" w:sz="0" w:space="0" w:color="auto"/>
            <w:left w:val="none" w:sz="0" w:space="0" w:color="auto"/>
            <w:bottom w:val="none" w:sz="0" w:space="0" w:color="auto"/>
            <w:right w:val="none" w:sz="0" w:space="0" w:color="auto"/>
          </w:divBdr>
        </w:div>
        <w:div w:id="120004177">
          <w:marLeft w:val="0"/>
          <w:marRight w:val="0"/>
          <w:marTop w:val="0"/>
          <w:marBottom w:val="0"/>
          <w:divBdr>
            <w:top w:val="none" w:sz="0" w:space="0" w:color="auto"/>
            <w:left w:val="none" w:sz="0" w:space="0" w:color="auto"/>
            <w:bottom w:val="none" w:sz="0" w:space="0" w:color="auto"/>
            <w:right w:val="none" w:sz="0" w:space="0" w:color="auto"/>
          </w:divBdr>
        </w:div>
        <w:div w:id="710959180">
          <w:marLeft w:val="0"/>
          <w:marRight w:val="0"/>
          <w:marTop w:val="0"/>
          <w:marBottom w:val="0"/>
          <w:divBdr>
            <w:top w:val="none" w:sz="0" w:space="0" w:color="auto"/>
            <w:left w:val="none" w:sz="0" w:space="0" w:color="auto"/>
            <w:bottom w:val="none" w:sz="0" w:space="0" w:color="auto"/>
            <w:right w:val="none" w:sz="0" w:space="0" w:color="auto"/>
          </w:divBdr>
        </w:div>
        <w:div w:id="1928223429">
          <w:marLeft w:val="0"/>
          <w:marRight w:val="0"/>
          <w:marTop w:val="0"/>
          <w:marBottom w:val="0"/>
          <w:divBdr>
            <w:top w:val="none" w:sz="0" w:space="0" w:color="auto"/>
            <w:left w:val="none" w:sz="0" w:space="0" w:color="auto"/>
            <w:bottom w:val="none" w:sz="0" w:space="0" w:color="auto"/>
            <w:right w:val="none" w:sz="0" w:space="0" w:color="auto"/>
          </w:divBdr>
        </w:div>
        <w:div w:id="1290815733">
          <w:marLeft w:val="0"/>
          <w:marRight w:val="0"/>
          <w:marTop w:val="0"/>
          <w:marBottom w:val="0"/>
          <w:divBdr>
            <w:top w:val="none" w:sz="0" w:space="0" w:color="auto"/>
            <w:left w:val="none" w:sz="0" w:space="0" w:color="auto"/>
            <w:bottom w:val="none" w:sz="0" w:space="0" w:color="auto"/>
            <w:right w:val="none" w:sz="0" w:space="0" w:color="auto"/>
          </w:divBdr>
        </w:div>
        <w:div w:id="2052802160">
          <w:marLeft w:val="0"/>
          <w:marRight w:val="0"/>
          <w:marTop w:val="0"/>
          <w:marBottom w:val="0"/>
          <w:divBdr>
            <w:top w:val="none" w:sz="0" w:space="0" w:color="auto"/>
            <w:left w:val="none" w:sz="0" w:space="0" w:color="auto"/>
            <w:bottom w:val="none" w:sz="0" w:space="0" w:color="auto"/>
            <w:right w:val="none" w:sz="0" w:space="0" w:color="auto"/>
          </w:divBdr>
        </w:div>
        <w:div w:id="1382242895">
          <w:marLeft w:val="0"/>
          <w:marRight w:val="0"/>
          <w:marTop w:val="0"/>
          <w:marBottom w:val="0"/>
          <w:divBdr>
            <w:top w:val="none" w:sz="0" w:space="0" w:color="auto"/>
            <w:left w:val="none" w:sz="0" w:space="0" w:color="auto"/>
            <w:bottom w:val="none" w:sz="0" w:space="0" w:color="auto"/>
            <w:right w:val="none" w:sz="0" w:space="0" w:color="auto"/>
          </w:divBdr>
        </w:div>
        <w:div w:id="721901648">
          <w:marLeft w:val="0"/>
          <w:marRight w:val="0"/>
          <w:marTop w:val="0"/>
          <w:marBottom w:val="0"/>
          <w:divBdr>
            <w:top w:val="none" w:sz="0" w:space="0" w:color="auto"/>
            <w:left w:val="none" w:sz="0" w:space="0" w:color="auto"/>
            <w:bottom w:val="none" w:sz="0" w:space="0" w:color="auto"/>
            <w:right w:val="none" w:sz="0" w:space="0" w:color="auto"/>
          </w:divBdr>
        </w:div>
        <w:div w:id="615522343">
          <w:marLeft w:val="0"/>
          <w:marRight w:val="0"/>
          <w:marTop w:val="0"/>
          <w:marBottom w:val="0"/>
          <w:divBdr>
            <w:top w:val="none" w:sz="0" w:space="0" w:color="auto"/>
            <w:left w:val="none" w:sz="0" w:space="0" w:color="auto"/>
            <w:bottom w:val="none" w:sz="0" w:space="0" w:color="auto"/>
            <w:right w:val="none" w:sz="0" w:space="0" w:color="auto"/>
          </w:divBdr>
        </w:div>
        <w:div w:id="337460805">
          <w:marLeft w:val="0"/>
          <w:marRight w:val="0"/>
          <w:marTop w:val="0"/>
          <w:marBottom w:val="0"/>
          <w:divBdr>
            <w:top w:val="none" w:sz="0" w:space="0" w:color="auto"/>
            <w:left w:val="none" w:sz="0" w:space="0" w:color="auto"/>
            <w:bottom w:val="none" w:sz="0" w:space="0" w:color="auto"/>
            <w:right w:val="none" w:sz="0" w:space="0" w:color="auto"/>
          </w:divBdr>
        </w:div>
        <w:div w:id="1892419804">
          <w:marLeft w:val="0"/>
          <w:marRight w:val="0"/>
          <w:marTop w:val="0"/>
          <w:marBottom w:val="0"/>
          <w:divBdr>
            <w:top w:val="none" w:sz="0" w:space="0" w:color="auto"/>
            <w:left w:val="none" w:sz="0" w:space="0" w:color="auto"/>
            <w:bottom w:val="none" w:sz="0" w:space="0" w:color="auto"/>
            <w:right w:val="none" w:sz="0" w:space="0" w:color="auto"/>
          </w:divBdr>
        </w:div>
        <w:div w:id="1845589308">
          <w:marLeft w:val="0"/>
          <w:marRight w:val="0"/>
          <w:marTop w:val="0"/>
          <w:marBottom w:val="0"/>
          <w:divBdr>
            <w:top w:val="none" w:sz="0" w:space="0" w:color="auto"/>
            <w:left w:val="none" w:sz="0" w:space="0" w:color="auto"/>
            <w:bottom w:val="none" w:sz="0" w:space="0" w:color="auto"/>
            <w:right w:val="none" w:sz="0" w:space="0" w:color="auto"/>
          </w:divBdr>
        </w:div>
        <w:div w:id="681980456">
          <w:marLeft w:val="0"/>
          <w:marRight w:val="0"/>
          <w:marTop w:val="0"/>
          <w:marBottom w:val="0"/>
          <w:divBdr>
            <w:top w:val="none" w:sz="0" w:space="0" w:color="auto"/>
            <w:left w:val="none" w:sz="0" w:space="0" w:color="auto"/>
            <w:bottom w:val="none" w:sz="0" w:space="0" w:color="auto"/>
            <w:right w:val="none" w:sz="0" w:space="0" w:color="auto"/>
          </w:divBdr>
        </w:div>
        <w:div w:id="948076536">
          <w:marLeft w:val="0"/>
          <w:marRight w:val="0"/>
          <w:marTop w:val="0"/>
          <w:marBottom w:val="0"/>
          <w:divBdr>
            <w:top w:val="none" w:sz="0" w:space="0" w:color="auto"/>
            <w:left w:val="none" w:sz="0" w:space="0" w:color="auto"/>
            <w:bottom w:val="none" w:sz="0" w:space="0" w:color="auto"/>
            <w:right w:val="none" w:sz="0" w:space="0" w:color="auto"/>
          </w:divBdr>
        </w:div>
        <w:div w:id="1836415381">
          <w:marLeft w:val="0"/>
          <w:marRight w:val="0"/>
          <w:marTop w:val="0"/>
          <w:marBottom w:val="0"/>
          <w:divBdr>
            <w:top w:val="none" w:sz="0" w:space="0" w:color="auto"/>
            <w:left w:val="none" w:sz="0" w:space="0" w:color="auto"/>
            <w:bottom w:val="none" w:sz="0" w:space="0" w:color="auto"/>
            <w:right w:val="none" w:sz="0" w:space="0" w:color="auto"/>
          </w:divBdr>
        </w:div>
        <w:div w:id="1930699575">
          <w:marLeft w:val="0"/>
          <w:marRight w:val="0"/>
          <w:marTop w:val="0"/>
          <w:marBottom w:val="0"/>
          <w:divBdr>
            <w:top w:val="none" w:sz="0" w:space="0" w:color="auto"/>
            <w:left w:val="none" w:sz="0" w:space="0" w:color="auto"/>
            <w:bottom w:val="none" w:sz="0" w:space="0" w:color="auto"/>
            <w:right w:val="none" w:sz="0" w:space="0" w:color="auto"/>
          </w:divBdr>
        </w:div>
        <w:div w:id="399061201">
          <w:marLeft w:val="0"/>
          <w:marRight w:val="0"/>
          <w:marTop w:val="0"/>
          <w:marBottom w:val="0"/>
          <w:divBdr>
            <w:top w:val="none" w:sz="0" w:space="0" w:color="auto"/>
            <w:left w:val="none" w:sz="0" w:space="0" w:color="auto"/>
            <w:bottom w:val="none" w:sz="0" w:space="0" w:color="auto"/>
            <w:right w:val="none" w:sz="0" w:space="0" w:color="auto"/>
          </w:divBdr>
        </w:div>
        <w:div w:id="1407846603">
          <w:marLeft w:val="0"/>
          <w:marRight w:val="0"/>
          <w:marTop w:val="0"/>
          <w:marBottom w:val="0"/>
          <w:divBdr>
            <w:top w:val="none" w:sz="0" w:space="0" w:color="auto"/>
            <w:left w:val="none" w:sz="0" w:space="0" w:color="auto"/>
            <w:bottom w:val="none" w:sz="0" w:space="0" w:color="auto"/>
            <w:right w:val="none" w:sz="0" w:space="0" w:color="auto"/>
          </w:divBdr>
        </w:div>
        <w:div w:id="1700813285">
          <w:marLeft w:val="0"/>
          <w:marRight w:val="0"/>
          <w:marTop w:val="0"/>
          <w:marBottom w:val="0"/>
          <w:divBdr>
            <w:top w:val="none" w:sz="0" w:space="0" w:color="auto"/>
            <w:left w:val="none" w:sz="0" w:space="0" w:color="auto"/>
            <w:bottom w:val="none" w:sz="0" w:space="0" w:color="auto"/>
            <w:right w:val="none" w:sz="0" w:space="0" w:color="auto"/>
          </w:divBdr>
        </w:div>
        <w:div w:id="953245342">
          <w:marLeft w:val="0"/>
          <w:marRight w:val="0"/>
          <w:marTop w:val="0"/>
          <w:marBottom w:val="0"/>
          <w:divBdr>
            <w:top w:val="none" w:sz="0" w:space="0" w:color="auto"/>
            <w:left w:val="none" w:sz="0" w:space="0" w:color="auto"/>
            <w:bottom w:val="none" w:sz="0" w:space="0" w:color="auto"/>
            <w:right w:val="none" w:sz="0" w:space="0" w:color="auto"/>
          </w:divBdr>
        </w:div>
        <w:div w:id="1969581667">
          <w:marLeft w:val="0"/>
          <w:marRight w:val="0"/>
          <w:marTop w:val="0"/>
          <w:marBottom w:val="0"/>
          <w:divBdr>
            <w:top w:val="none" w:sz="0" w:space="0" w:color="auto"/>
            <w:left w:val="none" w:sz="0" w:space="0" w:color="auto"/>
            <w:bottom w:val="none" w:sz="0" w:space="0" w:color="auto"/>
            <w:right w:val="none" w:sz="0" w:space="0" w:color="auto"/>
          </w:divBdr>
        </w:div>
        <w:div w:id="1824544489">
          <w:marLeft w:val="0"/>
          <w:marRight w:val="0"/>
          <w:marTop w:val="0"/>
          <w:marBottom w:val="0"/>
          <w:divBdr>
            <w:top w:val="none" w:sz="0" w:space="0" w:color="auto"/>
            <w:left w:val="none" w:sz="0" w:space="0" w:color="auto"/>
            <w:bottom w:val="none" w:sz="0" w:space="0" w:color="auto"/>
            <w:right w:val="none" w:sz="0" w:space="0" w:color="auto"/>
          </w:divBdr>
        </w:div>
        <w:div w:id="1449474486">
          <w:marLeft w:val="0"/>
          <w:marRight w:val="0"/>
          <w:marTop w:val="0"/>
          <w:marBottom w:val="0"/>
          <w:divBdr>
            <w:top w:val="none" w:sz="0" w:space="0" w:color="auto"/>
            <w:left w:val="none" w:sz="0" w:space="0" w:color="auto"/>
            <w:bottom w:val="none" w:sz="0" w:space="0" w:color="auto"/>
            <w:right w:val="none" w:sz="0" w:space="0" w:color="auto"/>
          </w:divBdr>
        </w:div>
        <w:div w:id="201525019">
          <w:marLeft w:val="0"/>
          <w:marRight w:val="0"/>
          <w:marTop w:val="0"/>
          <w:marBottom w:val="0"/>
          <w:divBdr>
            <w:top w:val="none" w:sz="0" w:space="0" w:color="auto"/>
            <w:left w:val="none" w:sz="0" w:space="0" w:color="auto"/>
            <w:bottom w:val="none" w:sz="0" w:space="0" w:color="auto"/>
            <w:right w:val="none" w:sz="0" w:space="0" w:color="auto"/>
          </w:divBdr>
        </w:div>
        <w:div w:id="770516129">
          <w:marLeft w:val="0"/>
          <w:marRight w:val="0"/>
          <w:marTop w:val="0"/>
          <w:marBottom w:val="0"/>
          <w:divBdr>
            <w:top w:val="none" w:sz="0" w:space="0" w:color="auto"/>
            <w:left w:val="none" w:sz="0" w:space="0" w:color="auto"/>
            <w:bottom w:val="none" w:sz="0" w:space="0" w:color="auto"/>
            <w:right w:val="none" w:sz="0" w:space="0" w:color="auto"/>
          </w:divBdr>
        </w:div>
        <w:div w:id="973369007">
          <w:marLeft w:val="0"/>
          <w:marRight w:val="0"/>
          <w:marTop w:val="0"/>
          <w:marBottom w:val="0"/>
          <w:divBdr>
            <w:top w:val="none" w:sz="0" w:space="0" w:color="auto"/>
            <w:left w:val="none" w:sz="0" w:space="0" w:color="auto"/>
            <w:bottom w:val="none" w:sz="0" w:space="0" w:color="auto"/>
            <w:right w:val="none" w:sz="0" w:space="0" w:color="auto"/>
          </w:divBdr>
        </w:div>
        <w:div w:id="1599021959">
          <w:marLeft w:val="0"/>
          <w:marRight w:val="0"/>
          <w:marTop w:val="0"/>
          <w:marBottom w:val="0"/>
          <w:divBdr>
            <w:top w:val="none" w:sz="0" w:space="0" w:color="auto"/>
            <w:left w:val="none" w:sz="0" w:space="0" w:color="auto"/>
            <w:bottom w:val="none" w:sz="0" w:space="0" w:color="auto"/>
            <w:right w:val="none" w:sz="0" w:space="0" w:color="auto"/>
          </w:divBdr>
        </w:div>
        <w:div w:id="2118326992">
          <w:marLeft w:val="0"/>
          <w:marRight w:val="0"/>
          <w:marTop w:val="0"/>
          <w:marBottom w:val="0"/>
          <w:divBdr>
            <w:top w:val="none" w:sz="0" w:space="0" w:color="auto"/>
            <w:left w:val="none" w:sz="0" w:space="0" w:color="auto"/>
            <w:bottom w:val="none" w:sz="0" w:space="0" w:color="auto"/>
            <w:right w:val="none" w:sz="0" w:space="0" w:color="auto"/>
          </w:divBdr>
        </w:div>
        <w:div w:id="601375318">
          <w:marLeft w:val="0"/>
          <w:marRight w:val="0"/>
          <w:marTop w:val="0"/>
          <w:marBottom w:val="0"/>
          <w:divBdr>
            <w:top w:val="none" w:sz="0" w:space="0" w:color="auto"/>
            <w:left w:val="none" w:sz="0" w:space="0" w:color="auto"/>
            <w:bottom w:val="none" w:sz="0" w:space="0" w:color="auto"/>
            <w:right w:val="none" w:sz="0" w:space="0" w:color="auto"/>
          </w:divBdr>
        </w:div>
        <w:div w:id="1972050592">
          <w:marLeft w:val="0"/>
          <w:marRight w:val="0"/>
          <w:marTop w:val="0"/>
          <w:marBottom w:val="0"/>
          <w:divBdr>
            <w:top w:val="none" w:sz="0" w:space="0" w:color="auto"/>
            <w:left w:val="none" w:sz="0" w:space="0" w:color="auto"/>
            <w:bottom w:val="none" w:sz="0" w:space="0" w:color="auto"/>
            <w:right w:val="none" w:sz="0" w:space="0" w:color="auto"/>
          </w:divBdr>
        </w:div>
        <w:div w:id="1991399393">
          <w:marLeft w:val="0"/>
          <w:marRight w:val="0"/>
          <w:marTop w:val="0"/>
          <w:marBottom w:val="0"/>
          <w:divBdr>
            <w:top w:val="none" w:sz="0" w:space="0" w:color="auto"/>
            <w:left w:val="none" w:sz="0" w:space="0" w:color="auto"/>
            <w:bottom w:val="none" w:sz="0" w:space="0" w:color="auto"/>
            <w:right w:val="none" w:sz="0" w:space="0" w:color="auto"/>
          </w:divBdr>
        </w:div>
        <w:div w:id="1732583971">
          <w:marLeft w:val="0"/>
          <w:marRight w:val="0"/>
          <w:marTop w:val="0"/>
          <w:marBottom w:val="0"/>
          <w:divBdr>
            <w:top w:val="none" w:sz="0" w:space="0" w:color="auto"/>
            <w:left w:val="none" w:sz="0" w:space="0" w:color="auto"/>
            <w:bottom w:val="none" w:sz="0" w:space="0" w:color="auto"/>
            <w:right w:val="none" w:sz="0" w:space="0" w:color="auto"/>
          </w:divBdr>
        </w:div>
        <w:div w:id="510532890">
          <w:marLeft w:val="0"/>
          <w:marRight w:val="0"/>
          <w:marTop w:val="0"/>
          <w:marBottom w:val="0"/>
          <w:divBdr>
            <w:top w:val="none" w:sz="0" w:space="0" w:color="auto"/>
            <w:left w:val="none" w:sz="0" w:space="0" w:color="auto"/>
            <w:bottom w:val="none" w:sz="0" w:space="0" w:color="auto"/>
            <w:right w:val="none" w:sz="0" w:space="0" w:color="auto"/>
          </w:divBdr>
        </w:div>
        <w:div w:id="2020764937">
          <w:marLeft w:val="0"/>
          <w:marRight w:val="0"/>
          <w:marTop w:val="0"/>
          <w:marBottom w:val="0"/>
          <w:divBdr>
            <w:top w:val="none" w:sz="0" w:space="0" w:color="auto"/>
            <w:left w:val="none" w:sz="0" w:space="0" w:color="auto"/>
            <w:bottom w:val="none" w:sz="0" w:space="0" w:color="auto"/>
            <w:right w:val="none" w:sz="0" w:space="0" w:color="auto"/>
          </w:divBdr>
        </w:div>
        <w:div w:id="665596980">
          <w:marLeft w:val="0"/>
          <w:marRight w:val="0"/>
          <w:marTop w:val="0"/>
          <w:marBottom w:val="0"/>
          <w:divBdr>
            <w:top w:val="none" w:sz="0" w:space="0" w:color="auto"/>
            <w:left w:val="none" w:sz="0" w:space="0" w:color="auto"/>
            <w:bottom w:val="none" w:sz="0" w:space="0" w:color="auto"/>
            <w:right w:val="none" w:sz="0" w:space="0" w:color="auto"/>
          </w:divBdr>
        </w:div>
        <w:div w:id="1088690817">
          <w:marLeft w:val="0"/>
          <w:marRight w:val="0"/>
          <w:marTop w:val="0"/>
          <w:marBottom w:val="0"/>
          <w:divBdr>
            <w:top w:val="none" w:sz="0" w:space="0" w:color="auto"/>
            <w:left w:val="none" w:sz="0" w:space="0" w:color="auto"/>
            <w:bottom w:val="none" w:sz="0" w:space="0" w:color="auto"/>
            <w:right w:val="none" w:sz="0" w:space="0" w:color="auto"/>
          </w:divBdr>
        </w:div>
        <w:div w:id="1282998820">
          <w:marLeft w:val="0"/>
          <w:marRight w:val="0"/>
          <w:marTop w:val="0"/>
          <w:marBottom w:val="0"/>
          <w:divBdr>
            <w:top w:val="none" w:sz="0" w:space="0" w:color="auto"/>
            <w:left w:val="none" w:sz="0" w:space="0" w:color="auto"/>
            <w:bottom w:val="none" w:sz="0" w:space="0" w:color="auto"/>
            <w:right w:val="none" w:sz="0" w:space="0" w:color="auto"/>
          </w:divBdr>
        </w:div>
        <w:div w:id="412512187">
          <w:marLeft w:val="0"/>
          <w:marRight w:val="0"/>
          <w:marTop w:val="0"/>
          <w:marBottom w:val="0"/>
          <w:divBdr>
            <w:top w:val="none" w:sz="0" w:space="0" w:color="auto"/>
            <w:left w:val="none" w:sz="0" w:space="0" w:color="auto"/>
            <w:bottom w:val="none" w:sz="0" w:space="0" w:color="auto"/>
            <w:right w:val="none" w:sz="0" w:space="0" w:color="auto"/>
          </w:divBdr>
        </w:div>
        <w:div w:id="5329191">
          <w:marLeft w:val="0"/>
          <w:marRight w:val="0"/>
          <w:marTop w:val="0"/>
          <w:marBottom w:val="0"/>
          <w:divBdr>
            <w:top w:val="none" w:sz="0" w:space="0" w:color="auto"/>
            <w:left w:val="none" w:sz="0" w:space="0" w:color="auto"/>
            <w:bottom w:val="none" w:sz="0" w:space="0" w:color="auto"/>
            <w:right w:val="none" w:sz="0" w:space="0" w:color="auto"/>
          </w:divBdr>
        </w:div>
        <w:div w:id="1810973150">
          <w:marLeft w:val="0"/>
          <w:marRight w:val="0"/>
          <w:marTop w:val="0"/>
          <w:marBottom w:val="0"/>
          <w:divBdr>
            <w:top w:val="none" w:sz="0" w:space="0" w:color="auto"/>
            <w:left w:val="none" w:sz="0" w:space="0" w:color="auto"/>
            <w:bottom w:val="none" w:sz="0" w:space="0" w:color="auto"/>
            <w:right w:val="none" w:sz="0" w:space="0" w:color="auto"/>
          </w:divBdr>
        </w:div>
        <w:div w:id="1886484790">
          <w:marLeft w:val="0"/>
          <w:marRight w:val="0"/>
          <w:marTop w:val="0"/>
          <w:marBottom w:val="0"/>
          <w:divBdr>
            <w:top w:val="none" w:sz="0" w:space="0" w:color="auto"/>
            <w:left w:val="none" w:sz="0" w:space="0" w:color="auto"/>
            <w:bottom w:val="none" w:sz="0" w:space="0" w:color="auto"/>
            <w:right w:val="none" w:sz="0" w:space="0" w:color="auto"/>
          </w:divBdr>
        </w:div>
      </w:divsChild>
    </w:div>
    <w:div w:id="1464494550">
      <w:bodyDiv w:val="1"/>
      <w:marLeft w:val="0"/>
      <w:marRight w:val="0"/>
      <w:marTop w:val="0"/>
      <w:marBottom w:val="0"/>
      <w:divBdr>
        <w:top w:val="none" w:sz="0" w:space="0" w:color="auto"/>
        <w:left w:val="none" w:sz="0" w:space="0" w:color="auto"/>
        <w:bottom w:val="none" w:sz="0" w:space="0" w:color="auto"/>
        <w:right w:val="none" w:sz="0" w:space="0" w:color="auto"/>
      </w:divBdr>
      <w:divsChild>
        <w:div w:id="1750080660">
          <w:marLeft w:val="0"/>
          <w:marRight w:val="0"/>
          <w:marTop w:val="0"/>
          <w:marBottom w:val="0"/>
          <w:divBdr>
            <w:top w:val="none" w:sz="0" w:space="0" w:color="auto"/>
            <w:left w:val="none" w:sz="0" w:space="0" w:color="auto"/>
            <w:bottom w:val="none" w:sz="0" w:space="0" w:color="auto"/>
            <w:right w:val="none" w:sz="0" w:space="0" w:color="auto"/>
          </w:divBdr>
        </w:div>
        <w:div w:id="2048068546">
          <w:marLeft w:val="0"/>
          <w:marRight w:val="0"/>
          <w:marTop w:val="0"/>
          <w:marBottom w:val="0"/>
          <w:divBdr>
            <w:top w:val="none" w:sz="0" w:space="0" w:color="auto"/>
            <w:left w:val="none" w:sz="0" w:space="0" w:color="auto"/>
            <w:bottom w:val="none" w:sz="0" w:space="0" w:color="auto"/>
            <w:right w:val="none" w:sz="0" w:space="0" w:color="auto"/>
          </w:divBdr>
        </w:div>
        <w:div w:id="446240696">
          <w:marLeft w:val="0"/>
          <w:marRight w:val="0"/>
          <w:marTop w:val="0"/>
          <w:marBottom w:val="0"/>
          <w:divBdr>
            <w:top w:val="none" w:sz="0" w:space="0" w:color="auto"/>
            <w:left w:val="none" w:sz="0" w:space="0" w:color="auto"/>
            <w:bottom w:val="none" w:sz="0" w:space="0" w:color="auto"/>
            <w:right w:val="none" w:sz="0" w:space="0" w:color="auto"/>
          </w:divBdr>
        </w:div>
        <w:div w:id="2053916556">
          <w:marLeft w:val="0"/>
          <w:marRight w:val="0"/>
          <w:marTop w:val="0"/>
          <w:marBottom w:val="0"/>
          <w:divBdr>
            <w:top w:val="none" w:sz="0" w:space="0" w:color="auto"/>
            <w:left w:val="none" w:sz="0" w:space="0" w:color="auto"/>
            <w:bottom w:val="none" w:sz="0" w:space="0" w:color="auto"/>
            <w:right w:val="none" w:sz="0" w:space="0" w:color="auto"/>
          </w:divBdr>
        </w:div>
        <w:div w:id="1773279881">
          <w:marLeft w:val="0"/>
          <w:marRight w:val="0"/>
          <w:marTop w:val="0"/>
          <w:marBottom w:val="0"/>
          <w:divBdr>
            <w:top w:val="none" w:sz="0" w:space="0" w:color="auto"/>
            <w:left w:val="none" w:sz="0" w:space="0" w:color="auto"/>
            <w:bottom w:val="none" w:sz="0" w:space="0" w:color="auto"/>
            <w:right w:val="none" w:sz="0" w:space="0" w:color="auto"/>
          </w:divBdr>
        </w:div>
        <w:div w:id="2038500576">
          <w:marLeft w:val="0"/>
          <w:marRight w:val="0"/>
          <w:marTop w:val="0"/>
          <w:marBottom w:val="0"/>
          <w:divBdr>
            <w:top w:val="none" w:sz="0" w:space="0" w:color="auto"/>
            <w:left w:val="none" w:sz="0" w:space="0" w:color="auto"/>
            <w:bottom w:val="none" w:sz="0" w:space="0" w:color="auto"/>
            <w:right w:val="none" w:sz="0" w:space="0" w:color="auto"/>
          </w:divBdr>
        </w:div>
        <w:div w:id="109324703">
          <w:marLeft w:val="0"/>
          <w:marRight w:val="0"/>
          <w:marTop w:val="0"/>
          <w:marBottom w:val="0"/>
          <w:divBdr>
            <w:top w:val="none" w:sz="0" w:space="0" w:color="auto"/>
            <w:left w:val="none" w:sz="0" w:space="0" w:color="auto"/>
            <w:bottom w:val="none" w:sz="0" w:space="0" w:color="auto"/>
            <w:right w:val="none" w:sz="0" w:space="0" w:color="auto"/>
          </w:divBdr>
        </w:div>
        <w:div w:id="1095321890">
          <w:marLeft w:val="0"/>
          <w:marRight w:val="0"/>
          <w:marTop w:val="0"/>
          <w:marBottom w:val="0"/>
          <w:divBdr>
            <w:top w:val="none" w:sz="0" w:space="0" w:color="auto"/>
            <w:left w:val="none" w:sz="0" w:space="0" w:color="auto"/>
            <w:bottom w:val="none" w:sz="0" w:space="0" w:color="auto"/>
            <w:right w:val="none" w:sz="0" w:space="0" w:color="auto"/>
          </w:divBdr>
        </w:div>
        <w:div w:id="1135215161">
          <w:marLeft w:val="0"/>
          <w:marRight w:val="0"/>
          <w:marTop w:val="0"/>
          <w:marBottom w:val="0"/>
          <w:divBdr>
            <w:top w:val="none" w:sz="0" w:space="0" w:color="auto"/>
            <w:left w:val="none" w:sz="0" w:space="0" w:color="auto"/>
            <w:bottom w:val="none" w:sz="0" w:space="0" w:color="auto"/>
            <w:right w:val="none" w:sz="0" w:space="0" w:color="auto"/>
          </w:divBdr>
        </w:div>
        <w:div w:id="1001616398">
          <w:marLeft w:val="0"/>
          <w:marRight w:val="0"/>
          <w:marTop w:val="0"/>
          <w:marBottom w:val="0"/>
          <w:divBdr>
            <w:top w:val="none" w:sz="0" w:space="0" w:color="auto"/>
            <w:left w:val="none" w:sz="0" w:space="0" w:color="auto"/>
            <w:bottom w:val="none" w:sz="0" w:space="0" w:color="auto"/>
            <w:right w:val="none" w:sz="0" w:space="0" w:color="auto"/>
          </w:divBdr>
        </w:div>
        <w:div w:id="1795174578">
          <w:marLeft w:val="0"/>
          <w:marRight w:val="0"/>
          <w:marTop w:val="0"/>
          <w:marBottom w:val="0"/>
          <w:divBdr>
            <w:top w:val="none" w:sz="0" w:space="0" w:color="auto"/>
            <w:left w:val="none" w:sz="0" w:space="0" w:color="auto"/>
            <w:bottom w:val="none" w:sz="0" w:space="0" w:color="auto"/>
            <w:right w:val="none" w:sz="0" w:space="0" w:color="auto"/>
          </w:divBdr>
        </w:div>
        <w:div w:id="901251647">
          <w:marLeft w:val="0"/>
          <w:marRight w:val="0"/>
          <w:marTop w:val="0"/>
          <w:marBottom w:val="0"/>
          <w:divBdr>
            <w:top w:val="none" w:sz="0" w:space="0" w:color="auto"/>
            <w:left w:val="none" w:sz="0" w:space="0" w:color="auto"/>
            <w:bottom w:val="none" w:sz="0" w:space="0" w:color="auto"/>
            <w:right w:val="none" w:sz="0" w:space="0" w:color="auto"/>
          </w:divBdr>
        </w:div>
        <w:div w:id="1157766445">
          <w:marLeft w:val="0"/>
          <w:marRight w:val="0"/>
          <w:marTop w:val="0"/>
          <w:marBottom w:val="0"/>
          <w:divBdr>
            <w:top w:val="none" w:sz="0" w:space="0" w:color="auto"/>
            <w:left w:val="none" w:sz="0" w:space="0" w:color="auto"/>
            <w:bottom w:val="none" w:sz="0" w:space="0" w:color="auto"/>
            <w:right w:val="none" w:sz="0" w:space="0" w:color="auto"/>
          </w:divBdr>
        </w:div>
        <w:div w:id="1497763978">
          <w:marLeft w:val="0"/>
          <w:marRight w:val="0"/>
          <w:marTop w:val="0"/>
          <w:marBottom w:val="0"/>
          <w:divBdr>
            <w:top w:val="none" w:sz="0" w:space="0" w:color="auto"/>
            <w:left w:val="none" w:sz="0" w:space="0" w:color="auto"/>
            <w:bottom w:val="none" w:sz="0" w:space="0" w:color="auto"/>
            <w:right w:val="none" w:sz="0" w:space="0" w:color="auto"/>
          </w:divBdr>
        </w:div>
        <w:div w:id="2142380646">
          <w:marLeft w:val="0"/>
          <w:marRight w:val="0"/>
          <w:marTop w:val="0"/>
          <w:marBottom w:val="0"/>
          <w:divBdr>
            <w:top w:val="none" w:sz="0" w:space="0" w:color="auto"/>
            <w:left w:val="none" w:sz="0" w:space="0" w:color="auto"/>
            <w:bottom w:val="none" w:sz="0" w:space="0" w:color="auto"/>
            <w:right w:val="none" w:sz="0" w:space="0" w:color="auto"/>
          </w:divBdr>
        </w:div>
        <w:div w:id="624969349">
          <w:marLeft w:val="0"/>
          <w:marRight w:val="0"/>
          <w:marTop w:val="0"/>
          <w:marBottom w:val="0"/>
          <w:divBdr>
            <w:top w:val="none" w:sz="0" w:space="0" w:color="auto"/>
            <w:left w:val="none" w:sz="0" w:space="0" w:color="auto"/>
            <w:bottom w:val="none" w:sz="0" w:space="0" w:color="auto"/>
            <w:right w:val="none" w:sz="0" w:space="0" w:color="auto"/>
          </w:divBdr>
        </w:div>
        <w:div w:id="39525220">
          <w:marLeft w:val="0"/>
          <w:marRight w:val="0"/>
          <w:marTop w:val="0"/>
          <w:marBottom w:val="0"/>
          <w:divBdr>
            <w:top w:val="none" w:sz="0" w:space="0" w:color="auto"/>
            <w:left w:val="none" w:sz="0" w:space="0" w:color="auto"/>
            <w:bottom w:val="none" w:sz="0" w:space="0" w:color="auto"/>
            <w:right w:val="none" w:sz="0" w:space="0" w:color="auto"/>
          </w:divBdr>
        </w:div>
        <w:div w:id="1267613337">
          <w:marLeft w:val="0"/>
          <w:marRight w:val="0"/>
          <w:marTop w:val="0"/>
          <w:marBottom w:val="0"/>
          <w:divBdr>
            <w:top w:val="none" w:sz="0" w:space="0" w:color="auto"/>
            <w:left w:val="none" w:sz="0" w:space="0" w:color="auto"/>
            <w:bottom w:val="none" w:sz="0" w:space="0" w:color="auto"/>
            <w:right w:val="none" w:sz="0" w:space="0" w:color="auto"/>
          </w:divBdr>
        </w:div>
        <w:div w:id="283849949">
          <w:marLeft w:val="0"/>
          <w:marRight w:val="0"/>
          <w:marTop w:val="0"/>
          <w:marBottom w:val="0"/>
          <w:divBdr>
            <w:top w:val="none" w:sz="0" w:space="0" w:color="auto"/>
            <w:left w:val="none" w:sz="0" w:space="0" w:color="auto"/>
            <w:bottom w:val="none" w:sz="0" w:space="0" w:color="auto"/>
            <w:right w:val="none" w:sz="0" w:space="0" w:color="auto"/>
          </w:divBdr>
        </w:div>
        <w:div w:id="621426070">
          <w:marLeft w:val="0"/>
          <w:marRight w:val="0"/>
          <w:marTop w:val="0"/>
          <w:marBottom w:val="0"/>
          <w:divBdr>
            <w:top w:val="none" w:sz="0" w:space="0" w:color="auto"/>
            <w:left w:val="none" w:sz="0" w:space="0" w:color="auto"/>
            <w:bottom w:val="none" w:sz="0" w:space="0" w:color="auto"/>
            <w:right w:val="none" w:sz="0" w:space="0" w:color="auto"/>
          </w:divBdr>
        </w:div>
        <w:div w:id="1413235165">
          <w:marLeft w:val="0"/>
          <w:marRight w:val="0"/>
          <w:marTop w:val="0"/>
          <w:marBottom w:val="0"/>
          <w:divBdr>
            <w:top w:val="none" w:sz="0" w:space="0" w:color="auto"/>
            <w:left w:val="none" w:sz="0" w:space="0" w:color="auto"/>
            <w:bottom w:val="none" w:sz="0" w:space="0" w:color="auto"/>
            <w:right w:val="none" w:sz="0" w:space="0" w:color="auto"/>
          </w:divBdr>
        </w:div>
        <w:div w:id="1214006394">
          <w:marLeft w:val="0"/>
          <w:marRight w:val="0"/>
          <w:marTop w:val="0"/>
          <w:marBottom w:val="0"/>
          <w:divBdr>
            <w:top w:val="none" w:sz="0" w:space="0" w:color="auto"/>
            <w:left w:val="none" w:sz="0" w:space="0" w:color="auto"/>
            <w:bottom w:val="none" w:sz="0" w:space="0" w:color="auto"/>
            <w:right w:val="none" w:sz="0" w:space="0" w:color="auto"/>
          </w:divBdr>
        </w:div>
        <w:div w:id="443229321">
          <w:marLeft w:val="0"/>
          <w:marRight w:val="0"/>
          <w:marTop w:val="0"/>
          <w:marBottom w:val="0"/>
          <w:divBdr>
            <w:top w:val="none" w:sz="0" w:space="0" w:color="auto"/>
            <w:left w:val="none" w:sz="0" w:space="0" w:color="auto"/>
            <w:bottom w:val="none" w:sz="0" w:space="0" w:color="auto"/>
            <w:right w:val="none" w:sz="0" w:space="0" w:color="auto"/>
          </w:divBdr>
        </w:div>
        <w:div w:id="793602067">
          <w:marLeft w:val="0"/>
          <w:marRight w:val="0"/>
          <w:marTop w:val="0"/>
          <w:marBottom w:val="0"/>
          <w:divBdr>
            <w:top w:val="none" w:sz="0" w:space="0" w:color="auto"/>
            <w:left w:val="none" w:sz="0" w:space="0" w:color="auto"/>
            <w:bottom w:val="none" w:sz="0" w:space="0" w:color="auto"/>
            <w:right w:val="none" w:sz="0" w:space="0" w:color="auto"/>
          </w:divBdr>
        </w:div>
        <w:div w:id="920220311">
          <w:marLeft w:val="0"/>
          <w:marRight w:val="0"/>
          <w:marTop w:val="0"/>
          <w:marBottom w:val="0"/>
          <w:divBdr>
            <w:top w:val="none" w:sz="0" w:space="0" w:color="auto"/>
            <w:left w:val="none" w:sz="0" w:space="0" w:color="auto"/>
            <w:bottom w:val="none" w:sz="0" w:space="0" w:color="auto"/>
            <w:right w:val="none" w:sz="0" w:space="0" w:color="auto"/>
          </w:divBdr>
        </w:div>
        <w:div w:id="1113673051">
          <w:marLeft w:val="0"/>
          <w:marRight w:val="0"/>
          <w:marTop w:val="0"/>
          <w:marBottom w:val="0"/>
          <w:divBdr>
            <w:top w:val="none" w:sz="0" w:space="0" w:color="auto"/>
            <w:left w:val="none" w:sz="0" w:space="0" w:color="auto"/>
            <w:bottom w:val="none" w:sz="0" w:space="0" w:color="auto"/>
            <w:right w:val="none" w:sz="0" w:space="0" w:color="auto"/>
          </w:divBdr>
        </w:div>
        <w:div w:id="982739882">
          <w:marLeft w:val="0"/>
          <w:marRight w:val="0"/>
          <w:marTop w:val="0"/>
          <w:marBottom w:val="0"/>
          <w:divBdr>
            <w:top w:val="none" w:sz="0" w:space="0" w:color="auto"/>
            <w:left w:val="none" w:sz="0" w:space="0" w:color="auto"/>
            <w:bottom w:val="none" w:sz="0" w:space="0" w:color="auto"/>
            <w:right w:val="none" w:sz="0" w:space="0" w:color="auto"/>
          </w:divBdr>
        </w:div>
        <w:div w:id="2133397109">
          <w:marLeft w:val="0"/>
          <w:marRight w:val="0"/>
          <w:marTop w:val="0"/>
          <w:marBottom w:val="0"/>
          <w:divBdr>
            <w:top w:val="none" w:sz="0" w:space="0" w:color="auto"/>
            <w:left w:val="none" w:sz="0" w:space="0" w:color="auto"/>
            <w:bottom w:val="none" w:sz="0" w:space="0" w:color="auto"/>
            <w:right w:val="none" w:sz="0" w:space="0" w:color="auto"/>
          </w:divBdr>
        </w:div>
        <w:div w:id="829060461">
          <w:marLeft w:val="0"/>
          <w:marRight w:val="0"/>
          <w:marTop w:val="0"/>
          <w:marBottom w:val="0"/>
          <w:divBdr>
            <w:top w:val="none" w:sz="0" w:space="0" w:color="auto"/>
            <w:left w:val="none" w:sz="0" w:space="0" w:color="auto"/>
            <w:bottom w:val="none" w:sz="0" w:space="0" w:color="auto"/>
            <w:right w:val="none" w:sz="0" w:space="0" w:color="auto"/>
          </w:divBdr>
        </w:div>
        <w:div w:id="2008630439">
          <w:marLeft w:val="0"/>
          <w:marRight w:val="0"/>
          <w:marTop w:val="0"/>
          <w:marBottom w:val="0"/>
          <w:divBdr>
            <w:top w:val="none" w:sz="0" w:space="0" w:color="auto"/>
            <w:left w:val="none" w:sz="0" w:space="0" w:color="auto"/>
            <w:bottom w:val="none" w:sz="0" w:space="0" w:color="auto"/>
            <w:right w:val="none" w:sz="0" w:space="0" w:color="auto"/>
          </w:divBdr>
        </w:div>
        <w:div w:id="1140853185">
          <w:marLeft w:val="0"/>
          <w:marRight w:val="0"/>
          <w:marTop w:val="0"/>
          <w:marBottom w:val="0"/>
          <w:divBdr>
            <w:top w:val="none" w:sz="0" w:space="0" w:color="auto"/>
            <w:left w:val="none" w:sz="0" w:space="0" w:color="auto"/>
            <w:bottom w:val="none" w:sz="0" w:space="0" w:color="auto"/>
            <w:right w:val="none" w:sz="0" w:space="0" w:color="auto"/>
          </w:divBdr>
        </w:div>
        <w:div w:id="850804717">
          <w:marLeft w:val="0"/>
          <w:marRight w:val="0"/>
          <w:marTop w:val="0"/>
          <w:marBottom w:val="0"/>
          <w:divBdr>
            <w:top w:val="none" w:sz="0" w:space="0" w:color="auto"/>
            <w:left w:val="none" w:sz="0" w:space="0" w:color="auto"/>
            <w:bottom w:val="none" w:sz="0" w:space="0" w:color="auto"/>
            <w:right w:val="none" w:sz="0" w:space="0" w:color="auto"/>
          </w:divBdr>
        </w:div>
        <w:div w:id="2070685990">
          <w:marLeft w:val="0"/>
          <w:marRight w:val="0"/>
          <w:marTop w:val="0"/>
          <w:marBottom w:val="0"/>
          <w:divBdr>
            <w:top w:val="none" w:sz="0" w:space="0" w:color="auto"/>
            <w:left w:val="none" w:sz="0" w:space="0" w:color="auto"/>
            <w:bottom w:val="none" w:sz="0" w:space="0" w:color="auto"/>
            <w:right w:val="none" w:sz="0" w:space="0" w:color="auto"/>
          </w:divBdr>
        </w:div>
        <w:div w:id="433207692">
          <w:marLeft w:val="0"/>
          <w:marRight w:val="0"/>
          <w:marTop w:val="0"/>
          <w:marBottom w:val="0"/>
          <w:divBdr>
            <w:top w:val="none" w:sz="0" w:space="0" w:color="auto"/>
            <w:left w:val="none" w:sz="0" w:space="0" w:color="auto"/>
            <w:bottom w:val="none" w:sz="0" w:space="0" w:color="auto"/>
            <w:right w:val="none" w:sz="0" w:space="0" w:color="auto"/>
          </w:divBdr>
        </w:div>
        <w:div w:id="1506359220">
          <w:marLeft w:val="0"/>
          <w:marRight w:val="0"/>
          <w:marTop w:val="0"/>
          <w:marBottom w:val="0"/>
          <w:divBdr>
            <w:top w:val="none" w:sz="0" w:space="0" w:color="auto"/>
            <w:left w:val="none" w:sz="0" w:space="0" w:color="auto"/>
            <w:bottom w:val="none" w:sz="0" w:space="0" w:color="auto"/>
            <w:right w:val="none" w:sz="0" w:space="0" w:color="auto"/>
          </w:divBdr>
        </w:div>
        <w:div w:id="2049066095">
          <w:marLeft w:val="0"/>
          <w:marRight w:val="0"/>
          <w:marTop w:val="0"/>
          <w:marBottom w:val="0"/>
          <w:divBdr>
            <w:top w:val="none" w:sz="0" w:space="0" w:color="auto"/>
            <w:left w:val="none" w:sz="0" w:space="0" w:color="auto"/>
            <w:bottom w:val="none" w:sz="0" w:space="0" w:color="auto"/>
            <w:right w:val="none" w:sz="0" w:space="0" w:color="auto"/>
          </w:divBdr>
        </w:div>
        <w:div w:id="1954512462">
          <w:marLeft w:val="0"/>
          <w:marRight w:val="0"/>
          <w:marTop w:val="0"/>
          <w:marBottom w:val="0"/>
          <w:divBdr>
            <w:top w:val="none" w:sz="0" w:space="0" w:color="auto"/>
            <w:left w:val="none" w:sz="0" w:space="0" w:color="auto"/>
            <w:bottom w:val="none" w:sz="0" w:space="0" w:color="auto"/>
            <w:right w:val="none" w:sz="0" w:space="0" w:color="auto"/>
          </w:divBdr>
        </w:div>
        <w:div w:id="814759352">
          <w:marLeft w:val="0"/>
          <w:marRight w:val="0"/>
          <w:marTop w:val="0"/>
          <w:marBottom w:val="0"/>
          <w:divBdr>
            <w:top w:val="none" w:sz="0" w:space="0" w:color="auto"/>
            <w:left w:val="none" w:sz="0" w:space="0" w:color="auto"/>
            <w:bottom w:val="none" w:sz="0" w:space="0" w:color="auto"/>
            <w:right w:val="none" w:sz="0" w:space="0" w:color="auto"/>
          </w:divBdr>
        </w:div>
        <w:div w:id="1186821089">
          <w:marLeft w:val="0"/>
          <w:marRight w:val="0"/>
          <w:marTop w:val="0"/>
          <w:marBottom w:val="0"/>
          <w:divBdr>
            <w:top w:val="none" w:sz="0" w:space="0" w:color="auto"/>
            <w:left w:val="none" w:sz="0" w:space="0" w:color="auto"/>
            <w:bottom w:val="none" w:sz="0" w:space="0" w:color="auto"/>
            <w:right w:val="none" w:sz="0" w:space="0" w:color="auto"/>
          </w:divBdr>
        </w:div>
        <w:div w:id="990642660">
          <w:marLeft w:val="0"/>
          <w:marRight w:val="0"/>
          <w:marTop w:val="0"/>
          <w:marBottom w:val="0"/>
          <w:divBdr>
            <w:top w:val="none" w:sz="0" w:space="0" w:color="auto"/>
            <w:left w:val="none" w:sz="0" w:space="0" w:color="auto"/>
            <w:bottom w:val="none" w:sz="0" w:space="0" w:color="auto"/>
            <w:right w:val="none" w:sz="0" w:space="0" w:color="auto"/>
          </w:divBdr>
        </w:div>
        <w:div w:id="525607761">
          <w:marLeft w:val="0"/>
          <w:marRight w:val="0"/>
          <w:marTop w:val="0"/>
          <w:marBottom w:val="0"/>
          <w:divBdr>
            <w:top w:val="none" w:sz="0" w:space="0" w:color="auto"/>
            <w:left w:val="none" w:sz="0" w:space="0" w:color="auto"/>
            <w:bottom w:val="none" w:sz="0" w:space="0" w:color="auto"/>
            <w:right w:val="none" w:sz="0" w:space="0" w:color="auto"/>
          </w:divBdr>
        </w:div>
        <w:div w:id="1690521081">
          <w:marLeft w:val="0"/>
          <w:marRight w:val="0"/>
          <w:marTop w:val="0"/>
          <w:marBottom w:val="0"/>
          <w:divBdr>
            <w:top w:val="none" w:sz="0" w:space="0" w:color="auto"/>
            <w:left w:val="none" w:sz="0" w:space="0" w:color="auto"/>
            <w:bottom w:val="none" w:sz="0" w:space="0" w:color="auto"/>
            <w:right w:val="none" w:sz="0" w:space="0" w:color="auto"/>
          </w:divBdr>
        </w:div>
        <w:div w:id="1643385811">
          <w:marLeft w:val="0"/>
          <w:marRight w:val="0"/>
          <w:marTop w:val="0"/>
          <w:marBottom w:val="0"/>
          <w:divBdr>
            <w:top w:val="none" w:sz="0" w:space="0" w:color="auto"/>
            <w:left w:val="none" w:sz="0" w:space="0" w:color="auto"/>
            <w:bottom w:val="none" w:sz="0" w:space="0" w:color="auto"/>
            <w:right w:val="none" w:sz="0" w:space="0" w:color="auto"/>
          </w:divBdr>
        </w:div>
        <w:div w:id="370571569">
          <w:marLeft w:val="0"/>
          <w:marRight w:val="0"/>
          <w:marTop w:val="0"/>
          <w:marBottom w:val="0"/>
          <w:divBdr>
            <w:top w:val="none" w:sz="0" w:space="0" w:color="auto"/>
            <w:left w:val="none" w:sz="0" w:space="0" w:color="auto"/>
            <w:bottom w:val="none" w:sz="0" w:space="0" w:color="auto"/>
            <w:right w:val="none" w:sz="0" w:space="0" w:color="auto"/>
          </w:divBdr>
        </w:div>
        <w:div w:id="1717586453">
          <w:marLeft w:val="0"/>
          <w:marRight w:val="0"/>
          <w:marTop w:val="0"/>
          <w:marBottom w:val="0"/>
          <w:divBdr>
            <w:top w:val="none" w:sz="0" w:space="0" w:color="auto"/>
            <w:left w:val="none" w:sz="0" w:space="0" w:color="auto"/>
            <w:bottom w:val="none" w:sz="0" w:space="0" w:color="auto"/>
            <w:right w:val="none" w:sz="0" w:space="0" w:color="auto"/>
          </w:divBdr>
        </w:div>
        <w:div w:id="577252087">
          <w:marLeft w:val="0"/>
          <w:marRight w:val="0"/>
          <w:marTop w:val="0"/>
          <w:marBottom w:val="0"/>
          <w:divBdr>
            <w:top w:val="none" w:sz="0" w:space="0" w:color="auto"/>
            <w:left w:val="none" w:sz="0" w:space="0" w:color="auto"/>
            <w:bottom w:val="none" w:sz="0" w:space="0" w:color="auto"/>
            <w:right w:val="none" w:sz="0" w:space="0" w:color="auto"/>
          </w:divBdr>
        </w:div>
        <w:div w:id="1534801908">
          <w:marLeft w:val="0"/>
          <w:marRight w:val="0"/>
          <w:marTop w:val="0"/>
          <w:marBottom w:val="0"/>
          <w:divBdr>
            <w:top w:val="none" w:sz="0" w:space="0" w:color="auto"/>
            <w:left w:val="none" w:sz="0" w:space="0" w:color="auto"/>
            <w:bottom w:val="none" w:sz="0" w:space="0" w:color="auto"/>
            <w:right w:val="none" w:sz="0" w:space="0" w:color="auto"/>
          </w:divBdr>
        </w:div>
        <w:div w:id="654845624">
          <w:marLeft w:val="0"/>
          <w:marRight w:val="0"/>
          <w:marTop w:val="0"/>
          <w:marBottom w:val="0"/>
          <w:divBdr>
            <w:top w:val="none" w:sz="0" w:space="0" w:color="auto"/>
            <w:left w:val="none" w:sz="0" w:space="0" w:color="auto"/>
            <w:bottom w:val="none" w:sz="0" w:space="0" w:color="auto"/>
            <w:right w:val="none" w:sz="0" w:space="0" w:color="auto"/>
          </w:divBdr>
        </w:div>
        <w:div w:id="1928882147">
          <w:marLeft w:val="0"/>
          <w:marRight w:val="0"/>
          <w:marTop w:val="0"/>
          <w:marBottom w:val="0"/>
          <w:divBdr>
            <w:top w:val="none" w:sz="0" w:space="0" w:color="auto"/>
            <w:left w:val="none" w:sz="0" w:space="0" w:color="auto"/>
            <w:bottom w:val="none" w:sz="0" w:space="0" w:color="auto"/>
            <w:right w:val="none" w:sz="0" w:space="0" w:color="auto"/>
          </w:divBdr>
        </w:div>
        <w:div w:id="230626903">
          <w:marLeft w:val="0"/>
          <w:marRight w:val="0"/>
          <w:marTop w:val="0"/>
          <w:marBottom w:val="0"/>
          <w:divBdr>
            <w:top w:val="none" w:sz="0" w:space="0" w:color="auto"/>
            <w:left w:val="none" w:sz="0" w:space="0" w:color="auto"/>
            <w:bottom w:val="none" w:sz="0" w:space="0" w:color="auto"/>
            <w:right w:val="none" w:sz="0" w:space="0" w:color="auto"/>
          </w:divBdr>
        </w:div>
        <w:div w:id="191766571">
          <w:marLeft w:val="0"/>
          <w:marRight w:val="0"/>
          <w:marTop w:val="0"/>
          <w:marBottom w:val="0"/>
          <w:divBdr>
            <w:top w:val="none" w:sz="0" w:space="0" w:color="auto"/>
            <w:left w:val="none" w:sz="0" w:space="0" w:color="auto"/>
            <w:bottom w:val="none" w:sz="0" w:space="0" w:color="auto"/>
            <w:right w:val="none" w:sz="0" w:space="0" w:color="auto"/>
          </w:divBdr>
        </w:div>
        <w:div w:id="378827443">
          <w:marLeft w:val="0"/>
          <w:marRight w:val="0"/>
          <w:marTop w:val="0"/>
          <w:marBottom w:val="0"/>
          <w:divBdr>
            <w:top w:val="none" w:sz="0" w:space="0" w:color="auto"/>
            <w:left w:val="none" w:sz="0" w:space="0" w:color="auto"/>
            <w:bottom w:val="none" w:sz="0" w:space="0" w:color="auto"/>
            <w:right w:val="none" w:sz="0" w:space="0" w:color="auto"/>
          </w:divBdr>
        </w:div>
        <w:div w:id="1553617594">
          <w:marLeft w:val="0"/>
          <w:marRight w:val="0"/>
          <w:marTop w:val="0"/>
          <w:marBottom w:val="0"/>
          <w:divBdr>
            <w:top w:val="none" w:sz="0" w:space="0" w:color="auto"/>
            <w:left w:val="none" w:sz="0" w:space="0" w:color="auto"/>
            <w:bottom w:val="none" w:sz="0" w:space="0" w:color="auto"/>
            <w:right w:val="none" w:sz="0" w:space="0" w:color="auto"/>
          </w:divBdr>
        </w:div>
        <w:div w:id="1410663339">
          <w:marLeft w:val="0"/>
          <w:marRight w:val="0"/>
          <w:marTop w:val="0"/>
          <w:marBottom w:val="0"/>
          <w:divBdr>
            <w:top w:val="none" w:sz="0" w:space="0" w:color="auto"/>
            <w:left w:val="none" w:sz="0" w:space="0" w:color="auto"/>
            <w:bottom w:val="none" w:sz="0" w:space="0" w:color="auto"/>
            <w:right w:val="none" w:sz="0" w:space="0" w:color="auto"/>
          </w:divBdr>
        </w:div>
        <w:div w:id="1001815591">
          <w:marLeft w:val="0"/>
          <w:marRight w:val="0"/>
          <w:marTop w:val="0"/>
          <w:marBottom w:val="0"/>
          <w:divBdr>
            <w:top w:val="none" w:sz="0" w:space="0" w:color="auto"/>
            <w:left w:val="none" w:sz="0" w:space="0" w:color="auto"/>
            <w:bottom w:val="none" w:sz="0" w:space="0" w:color="auto"/>
            <w:right w:val="none" w:sz="0" w:space="0" w:color="auto"/>
          </w:divBdr>
        </w:div>
        <w:div w:id="1533961616">
          <w:marLeft w:val="0"/>
          <w:marRight w:val="0"/>
          <w:marTop w:val="0"/>
          <w:marBottom w:val="0"/>
          <w:divBdr>
            <w:top w:val="none" w:sz="0" w:space="0" w:color="auto"/>
            <w:left w:val="none" w:sz="0" w:space="0" w:color="auto"/>
            <w:bottom w:val="none" w:sz="0" w:space="0" w:color="auto"/>
            <w:right w:val="none" w:sz="0" w:space="0" w:color="auto"/>
          </w:divBdr>
        </w:div>
        <w:div w:id="1688554887">
          <w:marLeft w:val="0"/>
          <w:marRight w:val="0"/>
          <w:marTop w:val="0"/>
          <w:marBottom w:val="0"/>
          <w:divBdr>
            <w:top w:val="none" w:sz="0" w:space="0" w:color="auto"/>
            <w:left w:val="none" w:sz="0" w:space="0" w:color="auto"/>
            <w:bottom w:val="none" w:sz="0" w:space="0" w:color="auto"/>
            <w:right w:val="none" w:sz="0" w:space="0" w:color="auto"/>
          </w:divBdr>
        </w:div>
        <w:div w:id="1103771161">
          <w:marLeft w:val="0"/>
          <w:marRight w:val="0"/>
          <w:marTop w:val="0"/>
          <w:marBottom w:val="0"/>
          <w:divBdr>
            <w:top w:val="none" w:sz="0" w:space="0" w:color="auto"/>
            <w:left w:val="none" w:sz="0" w:space="0" w:color="auto"/>
            <w:bottom w:val="none" w:sz="0" w:space="0" w:color="auto"/>
            <w:right w:val="none" w:sz="0" w:space="0" w:color="auto"/>
          </w:divBdr>
        </w:div>
        <w:div w:id="1969435433">
          <w:marLeft w:val="0"/>
          <w:marRight w:val="0"/>
          <w:marTop w:val="0"/>
          <w:marBottom w:val="0"/>
          <w:divBdr>
            <w:top w:val="none" w:sz="0" w:space="0" w:color="auto"/>
            <w:left w:val="none" w:sz="0" w:space="0" w:color="auto"/>
            <w:bottom w:val="none" w:sz="0" w:space="0" w:color="auto"/>
            <w:right w:val="none" w:sz="0" w:space="0" w:color="auto"/>
          </w:divBdr>
        </w:div>
        <w:div w:id="1146243837">
          <w:marLeft w:val="0"/>
          <w:marRight w:val="0"/>
          <w:marTop w:val="0"/>
          <w:marBottom w:val="0"/>
          <w:divBdr>
            <w:top w:val="none" w:sz="0" w:space="0" w:color="auto"/>
            <w:left w:val="none" w:sz="0" w:space="0" w:color="auto"/>
            <w:bottom w:val="none" w:sz="0" w:space="0" w:color="auto"/>
            <w:right w:val="none" w:sz="0" w:space="0" w:color="auto"/>
          </w:divBdr>
        </w:div>
        <w:div w:id="1550722282">
          <w:marLeft w:val="0"/>
          <w:marRight w:val="0"/>
          <w:marTop w:val="0"/>
          <w:marBottom w:val="0"/>
          <w:divBdr>
            <w:top w:val="none" w:sz="0" w:space="0" w:color="auto"/>
            <w:left w:val="none" w:sz="0" w:space="0" w:color="auto"/>
            <w:bottom w:val="none" w:sz="0" w:space="0" w:color="auto"/>
            <w:right w:val="none" w:sz="0" w:space="0" w:color="auto"/>
          </w:divBdr>
        </w:div>
        <w:div w:id="830758691">
          <w:marLeft w:val="0"/>
          <w:marRight w:val="0"/>
          <w:marTop w:val="0"/>
          <w:marBottom w:val="0"/>
          <w:divBdr>
            <w:top w:val="none" w:sz="0" w:space="0" w:color="auto"/>
            <w:left w:val="none" w:sz="0" w:space="0" w:color="auto"/>
            <w:bottom w:val="none" w:sz="0" w:space="0" w:color="auto"/>
            <w:right w:val="none" w:sz="0" w:space="0" w:color="auto"/>
          </w:divBdr>
        </w:div>
        <w:div w:id="1796219499">
          <w:marLeft w:val="0"/>
          <w:marRight w:val="0"/>
          <w:marTop w:val="0"/>
          <w:marBottom w:val="0"/>
          <w:divBdr>
            <w:top w:val="none" w:sz="0" w:space="0" w:color="auto"/>
            <w:left w:val="none" w:sz="0" w:space="0" w:color="auto"/>
            <w:bottom w:val="none" w:sz="0" w:space="0" w:color="auto"/>
            <w:right w:val="none" w:sz="0" w:space="0" w:color="auto"/>
          </w:divBdr>
        </w:div>
        <w:div w:id="110393927">
          <w:marLeft w:val="0"/>
          <w:marRight w:val="0"/>
          <w:marTop w:val="0"/>
          <w:marBottom w:val="0"/>
          <w:divBdr>
            <w:top w:val="none" w:sz="0" w:space="0" w:color="auto"/>
            <w:left w:val="none" w:sz="0" w:space="0" w:color="auto"/>
            <w:bottom w:val="none" w:sz="0" w:space="0" w:color="auto"/>
            <w:right w:val="none" w:sz="0" w:space="0" w:color="auto"/>
          </w:divBdr>
        </w:div>
        <w:div w:id="380129142">
          <w:marLeft w:val="0"/>
          <w:marRight w:val="0"/>
          <w:marTop w:val="0"/>
          <w:marBottom w:val="0"/>
          <w:divBdr>
            <w:top w:val="none" w:sz="0" w:space="0" w:color="auto"/>
            <w:left w:val="none" w:sz="0" w:space="0" w:color="auto"/>
            <w:bottom w:val="none" w:sz="0" w:space="0" w:color="auto"/>
            <w:right w:val="none" w:sz="0" w:space="0" w:color="auto"/>
          </w:divBdr>
        </w:div>
        <w:div w:id="51320519">
          <w:marLeft w:val="0"/>
          <w:marRight w:val="0"/>
          <w:marTop w:val="0"/>
          <w:marBottom w:val="0"/>
          <w:divBdr>
            <w:top w:val="none" w:sz="0" w:space="0" w:color="auto"/>
            <w:left w:val="none" w:sz="0" w:space="0" w:color="auto"/>
            <w:bottom w:val="none" w:sz="0" w:space="0" w:color="auto"/>
            <w:right w:val="none" w:sz="0" w:space="0" w:color="auto"/>
          </w:divBdr>
        </w:div>
        <w:div w:id="1830553400">
          <w:marLeft w:val="0"/>
          <w:marRight w:val="0"/>
          <w:marTop w:val="0"/>
          <w:marBottom w:val="0"/>
          <w:divBdr>
            <w:top w:val="none" w:sz="0" w:space="0" w:color="auto"/>
            <w:left w:val="none" w:sz="0" w:space="0" w:color="auto"/>
            <w:bottom w:val="none" w:sz="0" w:space="0" w:color="auto"/>
            <w:right w:val="none" w:sz="0" w:space="0" w:color="auto"/>
          </w:divBdr>
        </w:div>
        <w:div w:id="1802726256">
          <w:marLeft w:val="0"/>
          <w:marRight w:val="0"/>
          <w:marTop w:val="0"/>
          <w:marBottom w:val="0"/>
          <w:divBdr>
            <w:top w:val="none" w:sz="0" w:space="0" w:color="auto"/>
            <w:left w:val="none" w:sz="0" w:space="0" w:color="auto"/>
            <w:bottom w:val="none" w:sz="0" w:space="0" w:color="auto"/>
            <w:right w:val="none" w:sz="0" w:space="0" w:color="auto"/>
          </w:divBdr>
        </w:div>
      </w:divsChild>
    </w:div>
    <w:div w:id="1597859942">
      <w:bodyDiv w:val="1"/>
      <w:marLeft w:val="0"/>
      <w:marRight w:val="0"/>
      <w:marTop w:val="0"/>
      <w:marBottom w:val="0"/>
      <w:divBdr>
        <w:top w:val="none" w:sz="0" w:space="0" w:color="auto"/>
        <w:left w:val="none" w:sz="0" w:space="0" w:color="auto"/>
        <w:bottom w:val="none" w:sz="0" w:space="0" w:color="auto"/>
        <w:right w:val="none" w:sz="0" w:space="0" w:color="auto"/>
      </w:divBdr>
      <w:divsChild>
        <w:div w:id="1535999098">
          <w:marLeft w:val="0"/>
          <w:marRight w:val="0"/>
          <w:marTop w:val="0"/>
          <w:marBottom w:val="0"/>
          <w:divBdr>
            <w:top w:val="none" w:sz="0" w:space="0" w:color="auto"/>
            <w:left w:val="none" w:sz="0" w:space="0" w:color="auto"/>
            <w:bottom w:val="none" w:sz="0" w:space="0" w:color="auto"/>
            <w:right w:val="none" w:sz="0" w:space="0" w:color="auto"/>
          </w:divBdr>
        </w:div>
        <w:div w:id="58401672">
          <w:marLeft w:val="0"/>
          <w:marRight w:val="0"/>
          <w:marTop w:val="0"/>
          <w:marBottom w:val="0"/>
          <w:divBdr>
            <w:top w:val="none" w:sz="0" w:space="0" w:color="auto"/>
            <w:left w:val="none" w:sz="0" w:space="0" w:color="auto"/>
            <w:bottom w:val="none" w:sz="0" w:space="0" w:color="auto"/>
            <w:right w:val="none" w:sz="0" w:space="0" w:color="auto"/>
          </w:divBdr>
        </w:div>
        <w:div w:id="1815218719">
          <w:marLeft w:val="0"/>
          <w:marRight w:val="0"/>
          <w:marTop w:val="0"/>
          <w:marBottom w:val="0"/>
          <w:divBdr>
            <w:top w:val="none" w:sz="0" w:space="0" w:color="auto"/>
            <w:left w:val="none" w:sz="0" w:space="0" w:color="auto"/>
            <w:bottom w:val="none" w:sz="0" w:space="0" w:color="auto"/>
            <w:right w:val="none" w:sz="0" w:space="0" w:color="auto"/>
          </w:divBdr>
          <w:divsChild>
            <w:div w:id="374548792">
              <w:marLeft w:val="0"/>
              <w:marRight w:val="0"/>
              <w:marTop w:val="0"/>
              <w:marBottom w:val="0"/>
              <w:divBdr>
                <w:top w:val="none" w:sz="0" w:space="0" w:color="auto"/>
                <w:left w:val="none" w:sz="0" w:space="0" w:color="auto"/>
                <w:bottom w:val="none" w:sz="0" w:space="0" w:color="auto"/>
                <w:right w:val="none" w:sz="0" w:space="0" w:color="auto"/>
              </w:divBdr>
              <w:divsChild>
                <w:div w:id="52228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138412">
      <w:bodyDiv w:val="1"/>
      <w:marLeft w:val="0"/>
      <w:marRight w:val="0"/>
      <w:marTop w:val="0"/>
      <w:marBottom w:val="0"/>
      <w:divBdr>
        <w:top w:val="none" w:sz="0" w:space="0" w:color="auto"/>
        <w:left w:val="none" w:sz="0" w:space="0" w:color="auto"/>
        <w:bottom w:val="none" w:sz="0" w:space="0" w:color="auto"/>
        <w:right w:val="none" w:sz="0" w:space="0" w:color="auto"/>
      </w:divBdr>
    </w:div>
    <w:div w:id="1860309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ED9DC-39E0-49F4-B733-84EDC6C2B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48</Pages>
  <Words>30436</Words>
  <Characters>173487</Characters>
  <Application>Microsoft Office Word</Application>
  <DocSecurity>0</DocSecurity>
  <Lines>1445</Lines>
  <Paragraphs>407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203516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Adhitya Nugraha</dc:creator>
  <cp:keywords/>
  <dc:description/>
  <cp:lastModifiedBy>Deden Witarsyah</cp:lastModifiedBy>
  <cp:revision>3</cp:revision>
  <cp:lastPrinted>2025-07-31T08:44:00Z</cp:lastPrinted>
  <dcterms:created xsi:type="dcterms:W3CDTF">2026-08-20T02:58:00Z</dcterms:created>
  <dcterms:modified xsi:type="dcterms:W3CDTF">2026-08-20T02:59:00Z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4fb9a7b8-e8f2-4464-adc3-9cc85158bf4e</vt:lpwstr>
  </property>
</Properties>
</file>